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32D6274" w14:textId="77777777" w:rsidR="005806E8" w:rsidRPr="009E4BAF" w:rsidRDefault="00295AB2" w:rsidP="009E4BAF">
      <w:pPr>
        <w:pBdr>
          <w:top w:val="nil"/>
          <w:left w:val="nil"/>
          <w:bottom w:val="nil"/>
          <w:right w:val="nil"/>
          <w:between w:val="nil"/>
        </w:pBdr>
        <w:jc w:val="center"/>
        <w:rPr>
          <w:rFonts w:ascii="Helvetica Neue" w:eastAsia="Helvetica Neue" w:hAnsi="Helvetica Neue" w:cs="Helvetica Neue"/>
          <w:b/>
          <w:sz w:val="32"/>
          <w:szCs w:val="32"/>
        </w:rPr>
      </w:pPr>
      <w:r w:rsidRPr="009E4BAF">
        <w:rPr>
          <w:rFonts w:ascii="Helvetica Neue" w:eastAsia="Helvetica Neue" w:hAnsi="Helvetica Neue" w:cs="Helvetica Neue"/>
          <w:b/>
          <w:sz w:val="32"/>
          <w:szCs w:val="32"/>
        </w:rPr>
        <w:t>UTRGV School of Medicine</w:t>
      </w:r>
    </w:p>
    <w:p w14:paraId="7FAF3A3C" w14:textId="2E036458" w:rsidR="00017ADF" w:rsidRPr="009E4BAF" w:rsidRDefault="00716D6F" w:rsidP="009E4BAF">
      <w:pPr>
        <w:pBdr>
          <w:top w:val="nil"/>
          <w:left w:val="nil"/>
          <w:bottom w:val="nil"/>
          <w:right w:val="nil"/>
          <w:between w:val="nil"/>
        </w:pBdr>
        <w:jc w:val="center"/>
        <w:rPr>
          <w:rFonts w:ascii="Helvetica Neue" w:eastAsia="Helvetica Neue" w:hAnsi="Helvetica Neue" w:cs="Helvetica Neue"/>
          <w:b/>
          <w:sz w:val="26"/>
          <w:szCs w:val="26"/>
        </w:rPr>
      </w:pPr>
      <w:r w:rsidRPr="009E4BAF">
        <w:rPr>
          <w:rFonts w:ascii="Helvetica Neue" w:eastAsia="Helvetica Neue" w:hAnsi="Helvetica Neue" w:cs="Helvetica Neue"/>
          <w:b/>
          <w:sz w:val="26"/>
          <w:szCs w:val="26"/>
        </w:rPr>
        <w:t>Quick Guide for Students</w:t>
      </w:r>
    </w:p>
    <w:p w14:paraId="7FAF3A3D" w14:textId="77777777" w:rsidR="00017ADF" w:rsidRDefault="00017ADF" w:rsidP="009E4BAF">
      <w:pPr>
        <w:pBdr>
          <w:top w:val="nil"/>
          <w:left w:val="nil"/>
          <w:bottom w:val="nil"/>
          <w:right w:val="nil"/>
          <w:between w:val="nil"/>
        </w:pBdr>
        <w:rPr>
          <w:rFonts w:ascii="Helvetica Neue" w:eastAsia="Helvetica Neue" w:hAnsi="Helvetica Neue" w:cs="Helvetica Neue"/>
          <w:b/>
          <w:sz w:val="22"/>
          <w:szCs w:val="22"/>
        </w:rPr>
      </w:pPr>
    </w:p>
    <w:p w14:paraId="7FAF3A3E" w14:textId="77777777" w:rsidR="00017ADF" w:rsidRDefault="00017ADF" w:rsidP="009E4BAF">
      <w:pPr>
        <w:pBdr>
          <w:top w:val="nil"/>
          <w:left w:val="nil"/>
          <w:bottom w:val="nil"/>
          <w:right w:val="nil"/>
          <w:between w:val="nil"/>
        </w:pBdr>
        <w:rPr>
          <w:rFonts w:ascii="Helvetica Neue" w:eastAsia="Helvetica Neue" w:hAnsi="Helvetica Neue" w:cs="Helvetica Neue"/>
          <w:b/>
          <w:sz w:val="22"/>
          <w:szCs w:val="22"/>
        </w:rPr>
      </w:pPr>
    </w:p>
    <w:p w14:paraId="7FAF3A3F" w14:textId="77777777" w:rsidR="00017ADF" w:rsidRDefault="00716D6F" w:rsidP="009E4BAF">
      <w:pPr>
        <w:pBdr>
          <w:top w:val="nil"/>
          <w:left w:val="nil"/>
          <w:bottom w:val="nil"/>
          <w:right w:val="nil"/>
          <w:between w:val="nil"/>
        </w:pBdr>
        <w:jc w:val="center"/>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Hazardous exposure to body fluids</w:t>
      </w:r>
    </w:p>
    <w:p w14:paraId="7FAF3A40" w14:textId="77777777" w:rsidR="00017ADF" w:rsidRDefault="00017ADF" w:rsidP="009E4BAF">
      <w:pPr>
        <w:pBdr>
          <w:top w:val="nil"/>
          <w:left w:val="nil"/>
          <w:bottom w:val="nil"/>
          <w:right w:val="nil"/>
          <w:between w:val="nil"/>
        </w:pBdr>
        <w:jc w:val="center"/>
        <w:rPr>
          <w:rFonts w:ascii="Helvetica Neue" w:eastAsia="Helvetica Neue" w:hAnsi="Helvetica Neue" w:cs="Helvetica Neue"/>
          <w:b/>
          <w:color w:val="000000"/>
          <w:sz w:val="22"/>
          <w:szCs w:val="22"/>
        </w:rPr>
      </w:pPr>
    </w:p>
    <w:p w14:paraId="7FAF3A41" w14:textId="77777777" w:rsidR="00017ADF" w:rsidRDefault="00716D6F" w:rsidP="009E4BAF">
      <w:p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Handling of and exposure to body fluids is routine in medical practice. Hazardous exposure - a needle stick or splash or inhalation - is not routine but may nevertheless happen. If you are exposed in a potentially hazardous way, please remember to take these steps;</w:t>
      </w:r>
    </w:p>
    <w:p w14:paraId="7FAF3A42" w14:textId="77777777" w:rsidR="00017ADF" w:rsidRDefault="00017ADF" w:rsidP="009E4BAF">
      <w:pPr>
        <w:pBdr>
          <w:top w:val="nil"/>
          <w:left w:val="nil"/>
          <w:bottom w:val="nil"/>
          <w:right w:val="nil"/>
          <w:between w:val="nil"/>
        </w:pBdr>
        <w:rPr>
          <w:rFonts w:ascii="Helvetica Neue" w:eastAsia="Helvetica Neue" w:hAnsi="Helvetica Neue" w:cs="Helvetica Neue"/>
          <w:color w:val="000000"/>
          <w:sz w:val="22"/>
          <w:szCs w:val="22"/>
        </w:rPr>
      </w:pPr>
    </w:p>
    <w:p w14:paraId="7FAF3A43" w14:textId="77777777" w:rsidR="00017ADF" w:rsidRDefault="00716D6F">
      <w:pPr>
        <w:numPr>
          <w:ilvl w:val="0"/>
          <w:numId w:val="1"/>
        </w:num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Say something.</w:t>
      </w:r>
      <w:r>
        <w:rPr>
          <w:rFonts w:ascii="Helvetica Neue" w:eastAsia="Helvetica Neue" w:hAnsi="Helvetica Neue" w:cs="Helvetica Neue"/>
          <w:color w:val="000000"/>
          <w:sz w:val="22"/>
          <w:szCs w:val="22"/>
        </w:rPr>
        <w:t xml:space="preserve"> Report the exposure promptly to an attending or resident or Student Health Services. Especially for a needle stick blood exposure, timing is crucial. According to the CDC, evaluation and initiation of preventive treatment, if indicated, should occur within 2 hours of exposure.</w:t>
      </w:r>
      <w:r>
        <w:rPr>
          <w:rFonts w:ascii="Helvetica Neue" w:eastAsia="Helvetica Neue" w:hAnsi="Helvetica Neue" w:cs="Helvetica Neue"/>
          <w:color w:val="000000"/>
          <w:sz w:val="22"/>
          <w:szCs w:val="22"/>
        </w:rPr>
        <w:br/>
      </w:r>
    </w:p>
    <w:p w14:paraId="7FAF3A44" w14:textId="77777777" w:rsidR="00017ADF" w:rsidRDefault="00716D6F">
      <w:pPr>
        <w:numPr>
          <w:ilvl w:val="0"/>
          <w:numId w:val="1"/>
        </w:num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Get care in the nearest facility</w:t>
      </w:r>
      <w:r>
        <w:rPr>
          <w:rFonts w:ascii="Helvetica Neue" w:eastAsia="Helvetica Neue" w:hAnsi="Helvetica Neue" w:cs="Helvetica Neue"/>
          <w:color w:val="000000"/>
          <w:sz w:val="22"/>
          <w:szCs w:val="22"/>
        </w:rPr>
        <w:t xml:space="preserve"> you can access within 2 hours. If you are at one of our partner hospitals, go to the ER. If you are in an office or clinic, speak to your faculty preceptor. Comply with all policies and procedures at the clinical site, including creating an Incident Report and having yourself and the </w:t>
      </w:r>
      <w:r>
        <w:rPr>
          <w:rFonts w:ascii="Helvetica Neue" w:eastAsia="Helvetica Neue" w:hAnsi="Helvetica Neue" w:cs="Helvetica Neue"/>
          <w:sz w:val="22"/>
          <w:szCs w:val="22"/>
        </w:rPr>
        <w:t>source patient tested.</w:t>
      </w:r>
      <w:r>
        <w:rPr>
          <w:rFonts w:ascii="Helvetica Neue" w:eastAsia="Helvetica Neue" w:hAnsi="Helvetica Neue" w:cs="Helvetica Neue"/>
          <w:color w:val="000000"/>
          <w:sz w:val="22"/>
          <w:szCs w:val="22"/>
        </w:rPr>
        <w:br/>
      </w:r>
    </w:p>
    <w:p w14:paraId="7FAF3A45" w14:textId="77777777" w:rsidR="00017ADF" w:rsidRDefault="00716D6F">
      <w:pPr>
        <w:numPr>
          <w:ilvl w:val="0"/>
          <w:numId w:val="1"/>
        </w:num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Follow the protocol.</w:t>
      </w:r>
      <w:r>
        <w:rPr>
          <w:rFonts w:ascii="Helvetica Neue" w:eastAsia="Helvetica Neue" w:hAnsi="Helvetica Neue" w:cs="Helvetica Neue"/>
          <w:color w:val="000000"/>
          <w:sz w:val="22"/>
          <w:szCs w:val="22"/>
        </w:rPr>
        <w:t xml:space="preserve"> If a potentially hazardous exposure occurred, then have blood drawn from you to be tested for HIV</w:t>
      </w:r>
      <w:r>
        <w:rPr>
          <w:rFonts w:ascii="Helvetica Neue" w:eastAsia="Helvetica Neue" w:hAnsi="Helvetica Neue" w:cs="Helvetica Neue"/>
          <w:sz w:val="22"/>
          <w:szCs w:val="22"/>
        </w:rPr>
        <w:t xml:space="preserve">, </w:t>
      </w:r>
      <w:r>
        <w:rPr>
          <w:rFonts w:ascii="Helvetica Neue" w:eastAsia="Helvetica Neue" w:hAnsi="Helvetica Neue" w:cs="Helvetica Neue"/>
          <w:color w:val="000000"/>
          <w:sz w:val="22"/>
          <w:szCs w:val="22"/>
        </w:rPr>
        <w:t xml:space="preserve">Hep B and Hep C as well as from the source patient. </w:t>
      </w:r>
      <w:r>
        <w:rPr>
          <w:rFonts w:ascii="Helvetica Neue" w:eastAsia="Helvetica Neue" w:hAnsi="Helvetica Neue" w:cs="Helvetica Neue"/>
          <w:color w:val="000000"/>
          <w:sz w:val="22"/>
          <w:szCs w:val="22"/>
        </w:rPr>
        <w:br/>
      </w:r>
    </w:p>
    <w:p w14:paraId="7FAF3A46" w14:textId="77777777" w:rsidR="00017ADF" w:rsidRDefault="00716D6F">
      <w:pPr>
        <w:numPr>
          <w:ilvl w:val="0"/>
          <w:numId w:val="1"/>
        </w:num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b/>
          <w:color w:val="000000"/>
          <w:sz w:val="22"/>
          <w:szCs w:val="22"/>
        </w:rPr>
        <w:t xml:space="preserve">Get PEP - post-exposure prophylaxis - if indicated. </w:t>
      </w:r>
      <w:r>
        <w:rPr>
          <w:rFonts w:ascii="Helvetica Neue" w:eastAsia="Helvetica Neue" w:hAnsi="Helvetica Neue" w:cs="Helvetica Neue"/>
          <w:color w:val="000000"/>
          <w:sz w:val="22"/>
          <w:szCs w:val="22"/>
        </w:rPr>
        <w:t>This is not a judgment you should make by yourself but rather by a clinician at your site. If in doubt, or if no one is immediately available, call Student Health Service (665-2511)</w:t>
      </w:r>
      <w:r>
        <w:rPr>
          <w:rFonts w:ascii="Helvetica Neue" w:eastAsia="Helvetica Neue" w:hAnsi="Helvetica Neue" w:cs="Helvetica Neue"/>
          <w:sz w:val="22"/>
          <w:szCs w:val="22"/>
        </w:rPr>
        <w:t xml:space="preserve"> or Dean on Call (296-2502).</w:t>
      </w:r>
      <w:r>
        <w:rPr>
          <w:rFonts w:ascii="Helvetica Neue" w:eastAsia="Helvetica Neue" w:hAnsi="Helvetica Neue" w:cs="Helvetica Neue"/>
          <w:color w:val="000000"/>
          <w:sz w:val="22"/>
          <w:szCs w:val="22"/>
        </w:rPr>
        <w:t xml:space="preserve"> </w:t>
      </w:r>
      <w:r>
        <w:rPr>
          <w:rFonts w:ascii="Helvetica Neue" w:eastAsia="Helvetica Neue" w:hAnsi="Helvetica Neue" w:cs="Helvetica Neue"/>
          <w:sz w:val="22"/>
          <w:szCs w:val="22"/>
        </w:rPr>
        <w:br/>
      </w:r>
    </w:p>
    <w:p w14:paraId="7FAF3A47" w14:textId="77777777" w:rsidR="00017ADF" w:rsidRDefault="00716D6F">
      <w:pPr>
        <w:numPr>
          <w:ilvl w:val="0"/>
          <w:numId w:val="1"/>
        </w:numPr>
        <w:pBdr>
          <w:top w:val="nil"/>
          <w:left w:val="nil"/>
          <w:bottom w:val="nil"/>
          <w:right w:val="nil"/>
          <w:between w:val="nil"/>
        </w:pBdr>
        <w:rPr>
          <w:rFonts w:ascii="Helvetica Neue" w:eastAsia="Helvetica Neue" w:hAnsi="Helvetica Neue" w:cs="Helvetica Neue"/>
          <w:color w:val="000000"/>
          <w:sz w:val="22"/>
          <w:szCs w:val="22"/>
        </w:rPr>
      </w:pPr>
      <w:r>
        <w:rPr>
          <w:rFonts w:ascii="Helvetica Neue" w:eastAsia="Helvetica Neue" w:hAnsi="Helvetica Neue" w:cs="Helvetica Neue"/>
          <w:b/>
          <w:sz w:val="22"/>
          <w:szCs w:val="22"/>
        </w:rPr>
        <w:t xml:space="preserve">Follow-up with Student Health Services. </w:t>
      </w:r>
      <w:r>
        <w:rPr>
          <w:rFonts w:ascii="Helvetica Neue" w:eastAsia="Helvetica Neue" w:hAnsi="Helvetica Neue" w:cs="Helvetica Neue"/>
          <w:sz w:val="22"/>
          <w:szCs w:val="22"/>
        </w:rPr>
        <w:t xml:space="preserve">Complete paperwork - file insurance claim to cover charges for care - arrange to receive results of tests. </w:t>
      </w:r>
      <w:r>
        <w:rPr>
          <w:rFonts w:ascii="Helvetica Neue" w:eastAsia="Helvetica Neue" w:hAnsi="Helvetica Neue" w:cs="Helvetica Neue"/>
          <w:color w:val="000000"/>
          <w:sz w:val="22"/>
          <w:szCs w:val="22"/>
        </w:rPr>
        <w:br/>
      </w:r>
    </w:p>
    <w:p w14:paraId="7FAF3A48" w14:textId="77777777" w:rsidR="00017ADF" w:rsidRDefault="00017ADF">
      <w:pPr>
        <w:pBdr>
          <w:top w:val="nil"/>
          <w:left w:val="nil"/>
          <w:bottom w:val="nil"/>
          <w:right w:val="nil"/>
          <w:between w:val="nil"/>
        </w:pBdr>
        <w:ind w:left="720"/>
        <w:rPr>
          <w:rFonts w:ascii="Helvetica Neue" w:eastAsia="Helvetica Neue" w:hAnsi="Helvetica Neue" w:cs="Helvetica Neue"/>
          <w:color w:val="000000"/>
          <w:sz w:val="22"/>
          <w:szCs w:val="22"/>
        </w:rPr>
      </w:pPr>
    </w:p>
    <w:p w14:paraId="7FAF3A49" w14:textId="77777777" w:rsidR="00017ADF" w:rsidRDefault="00017ADF">
      <w:pPr>
        <w:pBdr>
          <w:top w:val="nil"/>
          <w:left w:val="nil"/>
          <w:bottom w:val="nil"/>
          <w:right w:val="nil"/>
          <w:between w:val="nil"/>
        </w:pBdr>
        <w:rPr>
          <w:rFonts w:ascii="Helvetica Neue" w:eastAsia="Helvetica Neue" w:hAnsi="Helvetica Neue" w:cs="Helvetica Neue"/>
          <w:sz w:val="22"/>
          <w:szCs w:val="22"/>
        </w:rPr>
      </w:pPr>
    </w:p>
    <w:p w14:paraId="7FAF3A4A" w14:textId="77777777" w:rsidR="00017ADF" w:rsidRDefault="00017ADF">
      <w:pPr>
        <w:pBdr>
          <w:top w:val="nil"/>
          <w:left w:val="nil"/>
          <w:bottom w:val="nil"/>
          <w:right w:val="nil"/>
          <w:between w:val="nil"/>
        </w:pBdr>
        <w:rPr>
          <w:rFonts w:ascii="Helvetica Neue" w:eastAsia="Helvetica Neue" w:hAnsi="Helvetica Neue" w:cs="Helvetica Neue"/>
          <w:sz w:val="22"/>
          <w:szCs w:val="22"/>
        </w:rPr>
      </w:pPr>
    </w:p>
    <w:p w14:paraId="7FAF3A4B" w14:textId="77777777" w:rsidR="00017ADF" w:rsidRDefault="00017ADF">
      <w:pPr>
        <w:pBdr>
          <w:top w:val="nil"/>
          <w:left w:val="nil"/>
          <w:bottom w:val="nil"/>
          <w:right w:val="nil"/>
          <w:between w:val="nil"/>
        </w:pBdr>
        <w:rPr>
          <w:rFonts w:ascii="Helvetica Neue" w:eastAsia="Helvetica Neue" w:hAnsi="Helvetica Neue" w:cs="Helvetica Neue"/>
          <w:sz w:val="22"/>
          <w:szCs w:val="22"/>
        </w:rPr>
      </w:pPr>
    </w:p>
    <w:p w14:paraId="7FAF3A4C" w14:textId="661012F0" w:rsidR="00017ADF" w:rsidRDefault="00716D6F">
      <w:pPr>
        <w:pBdr>
          <w:top w:val="nil"/>
          <w:left w:val="nil"/>
          <w:bottom w:val="nil"/>
          <w:right w:val="nil"/>
          <w:between w:val="nil"/>
        </w:pBdr>
        <w:rPr>
          <w:rFonts w:ascii="Helvetica Neue" w:eastAsia="Helvetica Neue" w:hAnsi="Helvetica Neue" w:cs="Helvetica Neue"/>
          <w:i/>
          <w:sz w:val="22"/>
          <w:szCs w:val="22"/>
        </w:rPr>
      </w:pPr>
      <w:r>
        <w:rPr>
          <w:rFonts w:ascii="Helvetica Neue" w:eastAsia="Helvetica Neue" w:hAnsi="Helvetica Neue" w:cs="Helvetica Neue"/>
          <w:i/>
          <w:sz w:val="22"/>
          <w:szCs w:val="22"/>
        </w:rPr>
        <w:t>OS</w:t>
      </w:r>
      <w:bookmarkStart w:id="0" w:name="_GoBack"/>
      <w:bookmarkEnd w:id="0"/>
      <w:r>
        <w:rPr>
          <w:rFonts w:ascii="Helvetica Neue" w:eastAsia="Helvetica Neue" w:hAnsi="Helvetica Neue" w:cs="Helvetica Neue"/>
          <w:i/>
          <w:sz w:val="22"/>
          <w:szCs w:val="22"/>
        </w:rPr>
        <w:t>A and SHS</w:t>
      </w:r>
    </w:p>
    <w:p w14:paraId="7FAF3A4D" w14:textId="77777777" w:rsidR="00017ADF" w:rsidRDefault="00716D6F">
      <w:pPr>
        <w:pBdr>
          <w:top w:val="nil"/>
          <w:left w:val="nil"/>
          <w:bottom w:val="nil"/>
          <w:right w:val="nil"/>
          <w:between w:val="nil"/>
        </w:pBdr>
        <w:rPr>
          <w:rFonts w:ascii="Helvetica Neue" w:eastAsia="Helvetica Neue" w:hAnsi="Helvetica Neue" w:cs="Helvetica Neue"/>
          <w:i/>
          <w:sz w:val="22"/>
          <w:szCs w:val="22"/>
        </w:rPr>
      </w:pPr>
      <w:r>
        <w:rPr>
          <w:rFonts w:ascii="Helvetica Neue" w:eastAsia="Helvetica Neue" w:hAnsi="Helvetica Neue" w:cs="Helvetica Neue"/>
          <w:i/>
          <w:sz w:val="22"/>
          <w:szCs w:val="22"/>
        </w:rPr>
        <w:t>3/2019</w:t>
      </w:r>
    </w:p>
    <w:sectPr w:rsidR="00017ADF">
      <w:headerReference w:type="default" r:id="rId10"/>
      <w:footerReference w:type="default" r:id="rId11"/>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F3A54" w14:textId="77777777" w:rsidR="00070F23" w:rsidRDefault="00716D6F">
      <w:r>
        <w:separator/>
      </w:r>
    </w:p>
  </w:endnote>
  <w:endnote w:type="continuationSeparator" w:id="0">
    <w:p w14:paraId="7FAF3A56" w14:textId="77777777" w:rsidR="00070F23" w:rsidRDefault="0071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F3A4F" w14:textId="77777777" w:rsidR="00017ADF" w:rsidRDefault="00017A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F3A50" w14:textId="77777777" w:rsidR="00070F23" w:rsidRDefault="00716D6F">
      <w:r>
        <w:separator/>
      </w:r>
    </w:p>
  </w:footnote>
  <w:footnote w:type="continuationSeparator" w:id="0">
    <w:p w14:paraId="7FAF3A52" w14:textId="77777777" w:rsidR="00070F23" w:rsidRDefault="00716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F3A4E" w14:textId="77777777" w:rsidR="00017ADF" w:rsidRDefault="00017A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17A0"/>
    <w:multiLevelType w:val="multilevel"/>
    <w:tmpl w:val="1982DF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S0MLOwNDI1MDM1NDBR0lEKTi0uzszPAykwqgUAbciO3ywAAAA="/>
  </w:docVars>
  <w:rsids>
    <w:rsidRoot w:val="00017ADF"/>
    <w:rsid w:val="00017ADF"/>
    <w:rsid w:val="00070F23"/>
    <w:rsid w:val="00295AB2"/>
    <w:rsid w:val="005806E8"/>
    <w:rsid w:val="00716D6F"/>
    <w:rsid w:val="009E4BAF"/>
    <w:rsid w:val="00CB5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F3A3C"/>
  <w15:docId w15:val="{1110FD3D-123E-44CF-8BE6-0D3C62B5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5536ADBCACEC409A7C57C0E930F19C" ma:contentTypeVersion="13" ma:contentTypeDescription="Create a new document." ma:contentTypeScope="" ma:versionID="2d3f117d30128843fc3151f431afaa3e">
  <xsd:schema xmlns:xsd="http://www.w3.org/2001/XMLSchema" xmlns:xs="http://www.w3.org/2001/XMLSchema" xmlns:p="http://schemas.microsoft.com/office/2006/metadata/properties" xmlns:ns3="41913218-4438-4d48-9bfa-222be8dc4ec9" xmlns:ns4="1a409ac0-838c-4ee7-9b85-48670a446e33" targetNamespace="http://schemas.microsoft.com/office/2006/metadata/properties" ma:root="true" ma:fieldsID="82e61a62ae447a9a3a98d9f6c7c48fe9" ns3:_="" ns4:_="">
    <xsd:import namespace="41913218-4438-4d48-9bfa-222be8dc4ec9"/>
    <xsd:import namespace="1a409ac0-838c-4ee7-9b85-48670a446e3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13218-4438-4d48-9bfa-222be8dc4ec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409ac0-838c-4ee7-9b85-48670a446e3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86EA0-3BF1-4AFE-B1F5-13F59C333F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2743B-0EFD-499F-83A3-F8CA7441361A}">
  <ds:schemaRefs>
    <ds:schemaRef ds:uri="http://schemas.microsoft.com/sharepoint/v3/contenttype/forms"/>
  </ds:schemaRefs>
</ds:datastoreItem>
</file>

<file path=customXml/itemProps3.xml><?xml version="1.0" encoding="utf-8"?>
<ds:datastoreItem xmlns:ds="http://schemas.openxmlformats.org/officeDocument/2006/customXml" ds:itemID="{76446E15-E1ED-485C-B377-BCA6344FC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13218-4438-4d48-9bfa-222be8dc4ec9"/>
    <ds:schemaRef ds:uri="1a409ac0-838c-4ee7-9b85-48670a446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Eguia</dc:creator>
  <cp:lastModifiedBy>Joe Eguia</cp:lastModifiedBy>
  <cp:revision>3</cp:revision>
  <cp:lastPrinted>2019-03-15T19:51:00Z</cp:lastPrinted>
  <dcterms:created xsi:type="dcterms:W3CDTF">2019-11-25T20:23:00Z</dcterms:created>
  <dcterms:modified xsi:type="dcterms:W3CDTF">2019-12-05T21:45:00Z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0x010100925536ADBCACEC409A7C57C0E930F19C</vt:lpwstr>
  </property>
</Properties>
</file>