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77C6" w14:textId="71FE83E5"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05888B65"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9F3832">
        <w:rPr>
          <w:rFonts w:cstheme="minorHAnsi"/>
          <w:b/>
          <w:bCs/>
          <w:sz w:val="22"/>
          <w:szCs w:val="22"/>
        </w:rPr>
        <w:t>Spring</w:t>
      </w:r>
      <w:r>
        <w:rPr>
          <w:rFonts w:cstheme="minorHAnsi"/>
          <w:b/>
          <w:bCs/>
          <w:sz w:val="22"/>
          <w:szCs w:val="22"/>
        </w:rPr>
        <w:t xml:space="preserve"> 202</w:t>
      </w:r>
      <w:r w:rsidR="00142909">
        <w:rPr>
          <w:rFonts w:cstheme="minorHAnsi"/>
          <w:b/>
          <w:bCs/>
          <w:sz w:val="22"/>
          <w:szCs w:val="22"/>
        </w:rPr>
        <w:t>1</w:t>
      </w:r>
      <w:r w:rsidRPr="00907E33">
        <w:rPr>
          <w:rFonts w:cstheme="minorHAnsi"/>
          <w:b/>
          <w:bCs/>
          <w:sz w:val="22"/>
          <w:szCs w:val="22"/>
        </w:rPr>
        <w:t>)</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09FE18BD"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0840C0"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6157F923" w14:textId="249E799B" w:rsidR="00570694" w:rsidRPr="004419AF" w:rsidRDefault="00570694" w:rsidP="00BA3FFB">
      <w:pPr>
        <w:pStyle w:val="Heading1"/>
      </w:pPr>
      <w:r w:rsidRPr="00154E46">
        <w:t xml:space="preserve">Welcome &amp; Introduction to </w:t>
      </w:r>
      <w:r w:rsidR="00A45FC7" w:rsidRPr="00154E46">
        <w:rPr>
          <w:rFonts w:eastAsiaTheme="minorEastAsia"/>
          <w:color w:val="auto"/>
          <w:bdr w:val="none" w:sz="0" w:space="0" w:color="auto"/>
          <w14:textOutline w14:w="0" w14:cap="rnd" w14:cmpd="sng" w14:algn="ctr">
            <w14:noFill/>
            <w14:prstDash w14:val="solid"/>
            <w14:bevel/>
          </w14:textOutline>
        </w:rPr>
        <w:t>COURSE MODALITY</w:t>
      </w:r>
      <w:r w:rsidRPr="00154E46">
        <w:rPr>
          <w:color w:val="auto"/>
        </w:rPr>
        <w:t xml:space="preserve"> </w:t>
      </w:r>
      <w:r w:rsidRPr="00154E46">
        <w:t>Statement</w:t>
      </w:r>
    </w:p>
    <w:p w14:paraId="7D87EECD" w14:textId="06819E45" w:rsidR="00383B3F" w:rsidRPr="004419AF" w:rsidRDefault="00570694" w:rsidP="00383B3F">
      <w:pPr>
        <w:spacing w:before="0" w:after="0" w:line="240" w:lineRule="auto"/>
        <w:rPr>
          <w:rFonts w:cstheme="minorHAnsi"/>
          <w:sz w:val="22"/>
          <w:szCs w:val="22"/>
        </w:rPr>
      </w:pPr>
      <w:r w:rsidRPr="004419AF">
        <w:rPr>
          <w:rFonts w:cstheme="minorHAnsi"/>
          <w:sz w:val="22"/>
          <w:szCs w:val="22"/>
        </w:rPr>
        <w:t xml:space="preserve">Each of the possible modalities are </w:t>
      </w:r>
      <w:r w:rsidR="00383B3F">
        <w:rPr>
          <w:rFonts w:cstheme="minorHAnsi"/>
          <w:sz w:val="22"/>
          <w:szCs w:val="22"/>
        </w:rPr>
        <w:t>defined</w:t>
      </w:r>
      <w:r w:rsidRPr="004419AF">
        <w:rPr>
          <w:rFonts w:cstheme="minorHAnsi"/>
          <w:sz w:val="22"/>
          <w:szCs w:val="22"/>
        </w:rPr>
        <w:t xml:space="preserve"> below.  </w:t>
      </w:r>
      <w:r w:rsidRPr="004419AF">
        <w:rPr>
          <w:rFonts w:cstheme="minorHAnsi"/>
          <w:sz w:val="22"/>
          <w:szCs w:val="22"/>
          <w:u w:val="single"/>
        </w:rPr>
        <w:t>Select</w:t>
      </w:r>
      <w:r w:rsidRPr="004419AF">
        <w:rPr>
          <w:rFonts w:cstheme="minorHAnsi"/>
          <w:sz w:val="22"/>
          <w:szCs w:val="22"/>
        </w:rPr>
        <w:t xml:space="preserve"> the one that corresponds to this course and delete the rest.  In order to maintain consistency across all communication resources regarding </w:t>
      </w:r>
      <w:r w:rsidR="00142909">
        <w:rPr>
          <w:rFonts w:cstheme="minorHAnsi"/>
          <w:sz w:val="22"/>
          <w:szCs w:val="22"/>
        </w:rPr>
        <w:t>Spring</w:t>
      </w:r>
      <w:r w:rsidR="00142909" w:rsidRPr="004419AF">
        <w:rPr>
          <w:rFonts w:cstheme="minorHAnsi"/>
          <w:sz w:val="22"/>
          <w:szCs w:val="22"/>
        </w:rPr>
        <w:t xml:space="preserve"> </w:t>
      </w:r>
      <w:r w:rsidRPr="004419AF">
        <w:rPr>
          <w:rFonts w:cstheme="minorHAnsi"/>
          <w:sz w:val="22"/>
          <w:szCs w:val="22"/>
        </w:rPr>
        <w:t>202</w:t>
      </w:r>
      <w:r w:rsidR="00142909">
        <w:rPr>
          <w:rFonts w:cstheme="minorHAnsi"/>
          <w:sz w:val="22"/>
          <w:szCs w:val="22"/>
        </w:rPr>
        <w:t>1</w:t>
      </w:r>
      <w:r w:rsidRPr="004419AF">
        <w:rPr>
          <w:rFonts w:cstheme="minorHAnsi"/>
          <w:sz w:val="22"/>
          <w:szCs w:val="22"/>
        </w:rPr>
        <w:t xml:space="preserve"> changes</w:t>
      </w:r>
      <w:r w:rsidRPr="00E71A63">
        <w:rPr>
          <w:b/>
          <w:sz w:val="22"/>
        </w:rPr>
        <w:t>,</w:t>
      </w:r>
      <w:r w:rsidR="00383B3F" w:rsidRPr="00E71A63">
        <w:rPr>
          <w:b/>
          <w:sz w:val="22"/>
        </w:rPr>
        <w:t xml:space="preserve"> please do not modify the definition</w:t>
      </w:r>
      <w:r w:rsidR="00383B3F">
        <w:rPr>
          <w:rFonts w:cstheme="minorHAnsi"/>
          <w:sz w:val="22"/>
          <w:szCs w:val="22"/>
        </w:rPr>
        <w:t xml:space="preserve">. An explanation will be included with the course description. </w:t>
      </w:r>
    </w:p>
    <w:p w14:paraId="494325B7" w14:textId="77777777" w:rsidR="00570694" w:rsidRPr="004419AF" w:rsidRDefault="00570694" w:rsidP="00570694">
      <w:pPr>
        <w:pStyle w:val="Body"/>
        <w:spacing w:before="0" w:after="0" w:line="240" w:lineRule="auto"/>
        <w:rPr>
          <w:rFonts w:asciiTheme="minorHAnsi" w:hAnsiTheme="minorHAnsi" w:cstheme="minorHAnsi"/>
          <w:sz w:val="22"/>
          <w:szCs w:val="22"/>
        </w:rPr>
      </w:pPr>
    </w:p>
    <w:p w14:paraId="76D70571" w14:textId="77777777" w:rsidR="0000197D" w:rsidRPr="008A7B6E" w:rsidRDefault="0000197D" w:rsidP="0000197D">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Asynchronous Courses:  </w:t>
      </w:r>
      <w:r w:rsidRPr="008A7B6E">
        <w:rPr>
          <w:rFonts w:asciiTheme="minorHAnsi" w:hAnsiTheme="minorHAnsi" w:cstheme="minorHAnsi"/>
          <w:color w:val="auto"/>
          <w:sz w:val="22"/>
          <w:szCs w:val="22"/>
          <w:shd w:val="clear" w:color="auto" w:fill="FFFFFF"/>
        </w:rPr>
        <w:t>These courses will be delivered fully online. There will be no designated class meeting time for real-time instructor/student interaction, which gives you the flexibility to engage with the course materials as best fits your daily schedule. </w:t>
      </w:r>
      <w:r w:rsidRPr="008A7B6E">
        <w:rPr>
          <w:rFonts w:asciiTheme="minorHAnsi" w:hAnsiTheme="minorHAnsi" w:cstheme="minorHAnsi"/>
          <w:color w:val="auto"/>
          <w:sz w:val="22"/>
          <w:szCs w:val="22"/>
        </w:rPr>
        <w:t xml:space="preserve"> Your learning will be guided by the digital presentation of the course content (e.g., recorded lectures, presentations, outlines, notes) and scheduled assignments. Your instructors will provide you with feedback on assigned work, communicate with you electronically, and be available to meet as defined on this syllabus.</w:t>
      </w:r>
    </w:p>
    <w:p w14:paraId="3BDBB5B7" w14:textId="77777777" w:rsidR="0000197D" w:rsidRPr="008A7B6E" w:rsidRDefault="0000197D" w:rsidP="00383B3F">
      <w:pPr>
        <w:pStyle w:val="Default"/>
        <w:ind w:left="720"/>
        <w:rPr>
          <w:rFonts w:asciiTheme="minorHAnsi" w:hAnsiTheme="minorHAnsi" w:cstheme="minorHAnsi"/>
          <w:b/>
          <w:bCs/>
          <w:color w:val="auto"/>
          <w:sz w:val="22"/>
          <w:szCs w:val="22"/>
          <w:shd w:val="clear" w:color="auto" w:fill="FFFFFF"/>
        </w:rPr>
      </w:pPr>
    </w:p>
    <w:p w14:paraId="300AA6C3" w14:textId="22C52069" w:rsidR="00570694" w:rsidRPr="008A7B6E" w:rsidRDefault="00570694" w:rsidP="00383B3F">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Synchronous Courses: </w:t>
      </w:r>
      <w:r w:rsidRPr="008A7B6E">
        <w:rPr>
          <w:rFonts w:asciiTheme="minorHAnsi" w:hAnsiTheme="minorHAnsi" w:cstheme="minorHAnsi"/>
          <w:color w:val="auto"/>
          <w:sz w:val="22"/>
          <w:szCs w:val="22"/>
        </w:rPr>
        <w:t xml:space="preserve">These courses will be delivered fully online. There will be a designated class meeting time for real-time instructor/student interaction, which will be conducted remotely via online platforms from the safety of your home. This real-time interaction may be supplemented by </w:t>
      </w:r>
      <w:r w:rsidR="008F0EE1">
        <w:rPr>
          <w:rFonts w:asciiTheme="minorHAnsi" w:hAnsiTheme="minorHAnsi" w:cstheme="minorHAnsi"/>
          <w:color w:val="auto"/>
          <w:sz w:val="22"/>
          <w:szCs w:val="22"/>
        </w:rPr>
        <w:t xml:space="preserve">asynchronous </w:t>
      </w:r>
      <w:r w:rsidR="00FA635E">
        <w:rPr>
          <w:rFonts w:asciiTheme="minorHAnsi" w:hAnsiTheme="minorHAnsi" w:cstheme="minorHAnsi"/>
          <w:color w:val="auto"/>
          <w:sz w:val="22"/>
          <w:szCs w:val="22"/>
        </w:rPr>
        <w:t xml:space="preserve">video lectures and </w:t>
      </w:r>
      <w:r w:rsidRPr="008A7B6E">
        <w:rPr>
          <w:rFonts w:asciiTheme="minorHAnsi" w:hAnsiTheme="minorHAnsi" w:cstheme="minorHAnsi"/>
          <w:color w:val="auto"/>
          <w:sz w:val="22"/>
          <w:szCs w:val="22"/>
        </w:rPr>
        <w:t>the digital presentation of course content</w:t>
      </w:r>
      <w:r w:rsidR="008F0EE1">
        <w:rPr>
          <w:rFonts w:asciiTheme="minorHAnsi" w:hAnsiTheme="minorHAnsi" w:cstheme="minorHAnsi"/>
          <w:color w:val="auto"/>
          <w:sz w:val="22"/>
          <w:szCs w:val="22"/>
        </w:rPr>
        <w:t>.  If this is the case it may mean a proportional reduction in number of synchronous class meetings. Your instructor will provide the details in the course syllabus</w:t>
      </w:r>
      <w:r w:rsidRPr="008A7B6E">
        <w:rPr>
          <w:rFonts w:asciiTheme="minorHAnsi" w:hAnsiTheme="minorHAnsi" w:cstheme="minorHAnsi"/>
          <w:color w:val="auto"/>
          <w:sz w:val="22"/>
          <w:szCs w:val="22"/>
        </w:rPr>
        <w:t xml:space="preserve">.  Your instructors will provide you with feedback on assigned work, communicate with you electronically, and be available to meet with you as defined on this syllabus. </w:t>
      </w:r>
    </w:p>
    <w:p w14:paraId="23AC530B" w14:textId="77777777" w:rsidR="00570694" w:rsidRPr="008A7B6E" w:rsidRDefault="00570694" w:rsidP="00383B3F">
      <w:pPr>
        <w:pStyle w:val="Default"/>
        <w:ind w:left="720"/>
        <w:rPr>
          <w:rFonts w:asciiTheme="minorHAnsi" w:eastAsia="Calibri" w:hAnsiTheme="minorHAnsi" w:cstheme="minorHAnsi"/>
          <w:b/>
          <w:bCs/>
          <w:caps/>
          <w:color w:val="auto"/>
          <w:sz w:val="22"/>
          <w:szCs w:val="22"/>
          <w:shd w:val="clear" w:color="auto" w:fill="FFFFFF"/>
        </w:rPr>
      </w:pPr>
      <w:r w:rsidRPr="008A7B6E">
        <w:rPr>
          <w:rFonts w:asciiTheme="minorHAnsi" w:hAnsiTheme="minorHAnsi" w:cstheme="minorHAnsi"/>
          <w:color w:val="auto"/>
          <w:sz w:val="22"/>
          <w:szCs w:val="22"/>
          <w:shd w:val="clear" w:color="auto" w:fill="FFFFFF"/>
        </w:rPr>
        <w:t> </w:t>
      </w:r>
    </w:p>
    <w:p w14:paraId="333C0A1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r w:rsidRPr="008A7B6E">
        <w:rPr>
          <w:rFonts w:asciiTheme="minorHAnsi" w:hAnsiTheme="minorHAnsi" w:cstheme="minorHAnsi"/>
          <w:b/>
          <w:bCs/>
          <w:color w:val="auto"/>
          <w:sz w:val="22"/>
          <w:szCs w:val="22"/>
        </w:rPr>
        <w:t>Hybrid/Reduced Seat Time Courses: </w:t>
      </w:r>
      <w:r w:rsidRPr="008A7B6E">
        <w:rPr>
          <w:rFonts w:asciiTheme="minorHAnsi" w:hAnsiTheme="minorHAnsi" w:cstheme="minorHAnsi"/>
          <w:color w:val="auto"/>
          <w:sz w:val="22"/>
          <w:szCs w:val="22"/>
        </w:rPr>
        <w:t>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guidance from the Return to Campus Task Force, which includes greatly reduced numbers of students at any given time to allow for social distancing, use of face coverings, and other measures as appropriate during all on-</w:t>
      </w:r>
      <w:r w:rsidRPr="008A7B6E">
        <w:rPr>
          <w:rFonts w:asciiTheme="minorHAnsi" w:hAnsiTheme="minorHAnsi" w:cstheme="minorHAnsi"/>
          <w:color w:val="auto"/>
          <w:sz w:val="22"/>
          <w:szCs w:val="22"/>
        </w:rPr>
        <w:lastRenderedPageBreak/>
        <w:t>campus activities. Exact procedures for these classes will vary depending on the course, on-campus space, instructor, and across disciplines</w:t>
      </w:r>
      <w:r w:rsidRPr="008A7B6E">
        <w:rPr>
          <w:rFonts w:asciiTheme="minorHAnsi" w:hAnsiTheme="minorHAnsi" w:cstheme="minorHAnsi"/>
          <w:i/>
          <w:iCs/>
          <w:color w:val="auto"/>
          <w:sz w:val="22"/>
          <w:szCs w:val="22"/>
        </w:rPr>
        <w:t>.</w:t>
      </w:r>
    </w:p>
    <w:p w14:paraId="215C219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p>
    <w:p w14:paraId="6681AD1E" w14:textId="34E5DBA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Traditional Face-to-Face Classes</w:t>
      </w:r>
      <w:r w:rsidR="00294B43" w:rsidRPr="008A7B6E">
        <w:rPr>
          <w:rFonts w:cstheme="minorHAnsi"/>
          <w:sz w:val="22"/>
          <w:szCs w:val="22"/>
        </w:rPr>
        <w:t>:</w:t>
      </w:r>
      <w:r w:rsidRPr="008A7B6E">
        <w:rPr>
          <w:rFonts w:cstheme="minorHAnsi"/>
          <w:sz w:val="22"/>
          <w:szCs w:val="22"/>
        </w:rPr>
        <w:t xml:space="preserve"> 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7DB3D21" w14:textId="77777777" w:rsidR="00570694" w:rsidRPr="008A7B6E" w:rsidRDefault="00570694" w:rsidP="00570694">
      <w:pPr>
        <w:pStyle w:val="ListParagraph"/>
        <w:spacing w:before="0" w:after="0" w:line="240" w:lineRule="auto"/>
        <w:ind w:left="0"/>
        <w:rPr>
          <w:rFonts w:cstheme="minorHAnsi"/>
          <w:sz w:val="22"/>
          <w:szCs w:val="22"/>
        </w:rPr>
      </w:pPr>
    </w:p>
    <w:p w14:paraId="50C4DDAC" w14:textId="6A3D73E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Accelerated Online Programs</w:t>
      </w:r>
      <w:r w:rsidR="00294B43" w:rsidRPr="008A7B6E">
        <w:rPr>
          <w:rFonts w:cstheme="minorHAnsi"/>
          <w:sz w:val="22"/>
          <w:szCs w:val="22"/>
        </w:rPr>
        <w:t>:</w:t>
      </w:r>
      <w:r w:rsidRPr="008A7B6E">
        <w:rPr>
          <w:rFonts w:cstheme="minorHAnsi"/>
          <w:sz w:val="22"/>
          <w:szCs w:val="22"/>
        </w:rPr>
        <w:t xml:space="preserve"> These programs offered through the Graduate College will continue as normal and follow their own academic calendar, which can be found </w:t>
      </w:r>
      <w:hyperlink r:id="rId12" w:history="1">
        <w:r w:rsidRPr="000D71DA">
          <w:rPr>
            <w:rStyle w:val="Hyperlink"/>
            <w:rFonts w:cstheme="minorHAnsi"/>
            <w:sz w:val="22"/>
            <w:szCs w:val="22"/>
          </w:rPr>
          <w:t>here</w:t>
        </w:r>
      </w:hyperlink>
      <w:r w:rsidRPr="008A7B6E">
        <w:rPr>
          <w:rFonts w:cstheme="minorHAnsi"/>
          <w:sz w:val="22"/>
          <w:szCs w:val="22"/>
        </w:rPr>
        <w:t>.</w:t>
      </w:r>
    </w:p>
    <w:p w14:paraId="71D1991E" w14:textId="77777777" w:rsidR="00570694" w:rsidRPr="008A7B6E" w:rsidRDefault="00570694" w:rsidP="00383B3F">
      <w:pPr>
        <w:pStyle w:val="ListParagraph"/>
        <w:spacing w:before="0" w:after="0" w:line="240" w:lineRule="auto"/>
        <w:rPr>
          <w:rFonts w:cstheme="minorHAnsi"/>
          <w:sz w:val="22"/>
          <w:szCs w:val="22"/>
        </w:rPr>
      </w:pPr>
    </w:p>
    <w:p w14:paraId="2B7902A7" w14:textId="1168143F"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Interactive Video Classes</w:t>
      </w:r>
      <w:r w:rsidR="00294B43" w:rsidRPr="008A7B6E">
        <w:rPr>
          <w:rFonts w:cstheme="minorHAnsi"/>
          <w:sz w:val="22"/>
          <w:szCs w:val="22"/>
        </w:rPr>
        <w:t>:</w:t>
      </w:r>
      <w:r w:rsidRPr="008A7B6E">
        <w:rPr>
          <w:rFonts w:cstheme="minorHAnsi"/>
          <w:sz w:val="22"/>
          <w:szCs w:val="22"/>
        </w:rPr>
        <w:t xml:space="preserve"> These classes are administered via live video feed and combine aspects of Online Synchronous and Traditional Face-to-Face modalities. Students in Interactive Video Classes attend in-person and follow a set schedule with real-time instruction from faculty. Instructors can interact simultaneously with students in specially equipped classrooms across UTRGV campus facilities throughout the Rio Grande Valley.</w:t>
      </w:r>
    </w:p>
    <w:p w14:paraId="06D56751" w14:textId="77777777" w:rsidR="00383B3F" w:rsidRPr="004419AF" w:rsidRDefault="00383B3F" w:rsidP="30D2F47D">
      <w:pPr>
        <w:spacing w:before="0" w:after="0" w:line="240" w:lineRule="auto"/>
        <w:rPr>
          <w:rFonts w:cstheme="minorHAnsi"/>
          <w:sz w:val="22"/>
          <w:szCs w:val="22"/>
        </w:rPr>
      </w:pPr>
    </w:p>
    <w:p w14:paraId="778BD545" w14:textId="5DE06392" w:rsidR="004419AF" w:rsidRPr="008A7B6E" w:rsidRDefault="004419AF" w:rsidP="00BA3FFB">
      <w:pPr>
        <w:pStyle w:val="Heading1"/>
        <w:rPr>
          <w:color w:val="auto"/>
        </w:rPr>
      </w:pPr>
      <w:r w:rsidRPr="00154E46">
        <w:t xml:space="preserve">Course Description, Prerequisites &amp; </w:t>
      </w:r>
      <w:r w:rsidR="00A45FC7" w:rsidRPr="00154E46">
        <w:rPr>
          <w:color w:val="auto"/>
        </w:rPr>
        <w:t>MODE OF LEARNING</w:t>
      </w:r>
      <w:r w:rsidRPr="008A7B6E">
        <w:rPr>
          <w:color w:val="auto"/>
        </w:rPr>
        <w:t xml:space="preserve"> </w:t>
      </w:r>
    </w:p>
    <w:p w14:paraId="16A33A1D" w14:textId="47BDCD8A" w:rsidR="002A5BD0" w:rsidRPr="00D921FA" w:rsidRDefault="002A5BD0" w:rsidP="002A5BD0">
      <w:pPr>
        <w:spacing w:before="0" w:after="0" w:line="240" w:lineRule="auto"/>
        <w:rPr>
          <w:rFonts w:cstheme="minorHAnsi"/>
          <w:sz w:val="22"/>
          <w:szCs w:val="22"/>
        </w:rPr>
      </w:pPr>
      <w:bookmarkStart w:id="0" w:name="_Hlk46773786"/>
      <w:r w:rsidRPr="00D921FA">
        <w:rPr>
          <w:rFonts w:cstheme="minorHAnsi"/>
          <w:sz w:val="22"/>
          <w:szCs w:val="22"/>
        </w:rPr>
        <w:t>Please upload your course description &amp; prerequisites as you have in the past (visit</w:t>
      </w:r>
      <w:r w:rsidR="00CC2BF1">
        <w:rPr>
          <w:rFonts w:cstheme="minorHAnsi"/>
          <w:sz w:val="22"/>
          <w:szCs w:val="22"/>
        </w:rPr>
        <w:t xml:space="preserve"> the</w:t>
      </w:r>
      <w:r w:rsidRPr="00D921FA">
        <w:rPr>
          <w:rFonts w:cstheme="minorHAnsi"/>
          <w:sz w:val="22"/>
          <w:szCs w:val="22"/>
        </w:rPr>
        <w:t xml:space="preserve"> course catalog for details). </w:t>
      </w:r>
      <w:r w:rsidR="004419AF" w:rsidRPr="004419AF">
        <w:rPr>
          <w:rFonts w:cstheme="minorHAnsi"/>
          <w:sz w:val="22"/>
          <w:szCs w:val="22"/>
        </w:rPr>
        <w:t>In addition to the course description and prerequisites</w:t>
      </w:r>
      <w:r w:rsidRPr="00D921FA">
        <w:rPr>
          <w:rFonts w:cstheme="minorHAnsi"/>
          <w:sz w:val="22"/>
          <w:szCs w:val="22"/>
        </w:rPr>
        <w:t>,</w:t>
      </w:r>
      <w:r w:rsidR="004419AF" w:rsidRPr="004419AF">
        <w:rPr>
          <w:rFonts w:cstheme="minorHAnsi"/>
          <w:sz w:val="22"/>
          <w:szCs w:val="22"/>
        </w:rPr>
        <w:t xml:space="preserve"> </w:t>
      </w:r>
      <w:r w:rsidR="00383B3F" w:rsidRPr="00E71A63">
        <w:rPr>
          <w:sz w:val="22"/>
        </w:rPr>
        <w:t xml:space="preserve">please provide a detailed description of what the modality will mean for </w:t>
      </w:r>
      <w:r w:rsidRPr="00D921FA">
        <w:rPr>
          <w:rFonts w:cstheme="minorHAnsi"/>
          <w:b/>
          <w:bCs/>
          <w:sz w:val="22"/>
          <w:szCs w:val="22"/>
        </w:rPr>
        <w:t>your</w:t>
      </w:r>
      <w:r w:rsidR="00383B3F" w:rsidRPr="00E71A63">
        <w:rPr>
          <w:sz w:val="22"/>
        </w:rPr>
        <w:t xml:space="preserve"> course</w:t>
      </w:r>
      <w:r w:rsidRPr="00D921FA">
        <w:rPr>
          <w:rFonts w:cstheme="minorHAnsi"/>
          <w:sz w:val="22"/>
          <w:szCs w:val="22"/>
        </w:rPr>
        <w:t>. This is</w:t>
      </w:r>
      <w:r w:rsidR="00383B3F" w:rsidRPr="00E71A63">
        <w:rPr>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E406D8" w:rsidR="004419AF" w:rsidRPr="005B1F96" w:rsidRDefault="004419AF" w:rsidP="00383B3F">
      <w:pPr>
        <w:pStyle w:val="Body"/>
        <w:spacing w:before="0" w:after="0" w:line="240" w:lineRule="auto"/>
        <w:rPr>
          <w:rFonts w:cstheme="minorHAnsi"/>
          <w:color w:val="538135" w:themeColor="accent6" w:themeShade="BF"/>
          <w:sz w:val="22"/>
          <w:szCs w:val="22"/>
        </w:rPr>
      </w:pPr>
    </w:p>
    <w:p w14:paraId="4E614A02" w14:textId="77777777" w:rsidR="002A5BD0" w:rsidRPr="004419AF" w:rsidRDefault="00DB7A43" w:rsidP="002A5BD0">
      <w:pPr>
        <w:spacing w:before="0" w:after="0" w:line="240" w:lineRule="auto"/>
        <w:rPr>
          <w:rFonts w:eastAsia="Calibri" w:cstheme="minorHAnsi"/>
          <w:color w:val="808080" w:themeColor="background1" w:themeShade="80"/>
          <w:sz w:val="22"/>
          <w:szCs w:val="22"/>
        </w:rPr>
      </w:pPr>
      <w:r w:rsidRPr="00BA3FFB">
        <w:rPr>
          <w:rStyle w:val="Heading1Char"/>
        </w:rPr>
        <w:t xml:space="preserve">COVID-19 </w:t>
      </w:r>
      <w:r w:rsidR="00A45FC7" w:rsidRPr="00BA3FFB">
        <w:rPr>
          <w:rStyle w:val="Heading1Char"/>
        </w:rPr>
        <w:t>RESOURCES</w:t>
      </w:r>
      <w:r w:rsidRPr="008A7B6E">
        <w:rPr>
          <w:rFonts w:eastAsia="Calibri" w:cstheme="minorHAnsi"/>
          <w:b/>
          <w:bCs/>
          <w:sz w:val="22"/>
          <w:szCs w:val="22"/>
        </w:rPr>
        <w:t>:</w:t>
      </w:r>
      <w:r w:rsidR="002A5BD0" w:rsidRPr="008A7B6E">
        <w:rPr>
          <w:rFonts w:eastAsia="Calibri" w:cstheme="minorHAnsi"/>
          <w:b/>
          <w:bCs/>
          <w:sz w:val="22"/>
          <w:szCs w:val="22"/>
        </w:rPr>
        <w:t xml:space="preserve"> </w:t>
      </w:r>
      <w:r w:rsidR="002A5BD0" w:rsidRPr="009A6F2A">
        <w:rPr>
          <w:rFonts w:eastAsia="Calibri" w:cstheme="minorHAnsi"/>
          <w:color w:val="DB350F"/>
          <w:sz w:val="22"/>
          <w:szCs w:val="22"/>
        </w:rPr>
        <w:t>Required on all syllabi. Do not modify.</w:t>
      </w:r>
    </w:p>
    <w:p w14:paraId="1D3E1DE8" w14:textId="578309F6" w:rsidR="001950B5" w:rsidRDefault="00DB7A43" w:rsidP="00DB7A43">
      <w:pPr>
        <w:spacing w:line="240" w:lineRule="auto"/>
        <w:contextualSpacing/>
        <w:rPr>
          <w:rFonts w:eastAsia="Calibri" w:cstheme="minorHAnsi"/>
          <w:sz w:val="22"/>
          <w:szCs w:val="22"/>
        </w:rPr>
      </w:pPr>
      <w:r w:rsidRPr="004419AF">
        <w:rPr>
          <w:rFonts w:eastAsia="Calibri" w:cstheme="minorHAnsi"/>
          <w:sz w:val="22"/>
          <w:szCs w:val="22"/>
        </w:rPr>
        <w:t xml:space="preserve">Please visit the </w:t>
      </w:r>
      <w:hyperlink r:id="rId13" w:history="1">
        <w:r w:rsidRPr="00B4758E">
          <w:rPr>
            <w:rStyle w:val="Hyperlink"/>
            <w:rFonts w:eastAsia="Calibri" w:cstheme="minorHAnsi"/>
            <w:sz w:val="22"/>
            <w:szCs w:val="22"/>
          </w:rPr>
          <w:t>UTRGV COVID-19 Website</w:t>
        </w:r>
      </w:hyperlink>
      <w:r w:rsidRPr="004419AF">
        <w:rPr>
          <w:rFonts w:eastAsia="Calibri" w:cstheme="minorHAnsi"/>
          <w:sz w:val="22"/>
          <w:szCs w:val="22"/>
        </w:rPr>
        <w:t xml:space="preserve"> via the following link for the most up-to-date information and resources (</w:t>
      </w:r>
      <w:hyperlink r:id="rId14" w:history="1">
        <w:r w:rsidRPr="004419AF">
          <w:rPr>
            <w:rStyle w:val="Hyperlink"/>
            <w:rFonts w:cstheme="minorHAnsi"/>
            <w:sz w:val="22"/>
            <w:szCs w:val="22"/>
          </w:rPr>
          <w:t>https://www.utrgv.edu/coronavirus/index.htm</w:t>
        </w:r>
      </w:hyperlink>
      <w:r w:rsidRPr="004419AF">
        <w:rPr>
          <w:rFonts w:eastAsia="Calibri" w:cstheme="minorHAnsi"/>
          <w:sz w:val="22"/>
          <w:szCs w:val="22"/>
        </w:rPr>
        <w:t>).  This includes information on self-screening questions, links to forms for travel and contact, etc.</w:t>
      </w:r>
      <w:r w:rsidR="001950B5">
        <w:rPr>
          <w:rFonts w:eastAsia="Calibri" w:cstheme="minorHAnsi"/>
          <w:sz w:val="22"/>
          <w:szCs w:val="22"/>
        </w:rPr>
        <w:t xml:space="preserve">  </w:t>
      </w:r>
    </w:p>
    <w:p w14:paraId="5922129C" w14:textId="77777777" w:rsidR="00CC2BF1" w:rsidRDefault="00CC2BF1" w:rsidP="00DB7A43">
      <w:pPr>
        <w:spacing w:line="240" w:lineRule="auto"/>
        <w:contextualSpacing/>
        <w:rPr>
          <w:rFonts w:eastAsia="Calibri" w:cstheme="minorHAnsi"/>
          <w:sz w:val="22"/>
          <w:szCs w:val="22"/>
        </w:rPr>
      </w:pPr>
    </w:p>
    <w:p w14:paraId="20EB9CF2" w14:textId="7727CFD6" w:rsidR="001950B5" w:rsidRPr="008A7B6E" w:rsidRDefault="005B1F96" w:rsidP="00DB7A43">
      <w:pPr>
        <w:spacing w:line="240" w:lineRule="auto"/>
        <w:contextualSpacing/>
        <w:rPr>
          <w:rFonts w:eastAsia="Calibri" w:cstheme="minorHAnsi"/>
          <w:sz w:val="22"/>
          <w:szCs w:val="22"/>
        </w:rPr>
      </w:pPr>
      <w:r w:rsidRPr="008A7B6E">
        <w:rPr>
          <w:rFonts w:cstheme="minorHAnsi"/>
          <w:sz w:val="22"/>
          <w:szCs w:val="22"/>
        </w:rPr>
        <w:t>B</w:t>
      </w:r>
      <w:r w:rsidR="001950B5" w:rsidRPr="008A7B6E">
        <w:rPr>
          <w:rFonts w:cstheme="minorHAnsi"/>
          <w:sz w:val="22"/>
          <w:szCs w:val="22"/>
        </w:rPr>
        <w:t xml:space="preserve">oilerplate language on self-screening and reporting is currently being developed. </w:t>
      </w:r>
    </w:p>
    <w:p w14:paraId="0840EDAC" w14:textId="77777777" w:rsidR="00DB7A43" w:rsidRPr="004419AF" w:rsidRDefault="00DB7A43" w:rsidP="00DB7A43">
      <w:pPr>
        <w:spacing w:before="0" w:after="0" w:line="240" w:lineRule="auto"/>
        <w:rPr>
          <w:rFonts w:eastAsia="Calibri" w:cstheme="minorHAnsi"/>
          <w:color w:val="F05023"/>
          <w:sz w:val="22"/>
          <w:szCs w:val="22"/>
        </w:rPr>
      </w:pPr>
    </w:p>
    <w:p w14:paraId="3DEA9C67" w14:textId="3727949A" w:rsidR="00DB7A43" w:rsidRPr="004419AF" w:rsidRDefault="004A6CED" w:rsidP="00DB7A43">
      <w:pPr>
        <w:spacing w:before="0" w:after="0" w:line="240" w:lineRule="auto"/>
        <w:rPr>
          <w:rFonts w:eastAsia="Calibri" w:cstheme="minorHAnsi"/>
          <w:color w:val="808080" w:themeColor="background1" w:themeShade="80"/>
          <w:sz w:val="22"/>
          <w:szCs w:val="22"/>
        </w:rPr>
      </w:pPr>
      <w:r w:rsidRPr="00BE1614">
        <w:rPr>
          <w:rStyle w:val="Heading2Char"/>
        </w:rPr>
        <w:t>F</w:t>
      </w:r>
      <w:r w:rsidR="00BE1614">
        <w:rPr>
          <w:rStyle w:val="Heading2Char"/>
        </w:rPr>
        <w:t>ace</w:t>
      </w:r>
      <w:r w:rsidRPr="00BE1614">
        <w:rPr>
          <w:rStyle w:val="Heading2Char"/>
        </w:rPr>
        <w:t xml:space="preserve"> C</w:t>
      </w:r>
      <w:r w:rsidR="00BE1614">
        <w:rPr>
          <w:rStyle w:val="Heading2Char"/>
        </w:rPr>
        <w:t>overing</w:t>
      </w:r>
      <w:r w:rsidRPr="00BE1614">
        <w:rPr>
          <w:rStyle w:val="Heading2Char"/>
        </w:rPr>
        <w:t xml:space="preserve"> </w:t>
      </w:r>
      <w:hyperlink r:id="rId15" w:history="1">
        <w:r w:rsidR="00DB7A43" w:rsidRPr="00BE1614">
          <w:rPr>
            <w:rStyle w:val="Heading2Char"/>
          </w:rPr>
          <w:t>Protocol</w:t>
        </w:r>
      </w:hyperlink>
      <w:r w:rsidR="00DB7A43" w:rsidRPr="00796F94">
        <w:rPr>
          <w:rFonts w:cstheme="minorHAnsi"/>
          <w:b/>
          <w:caps/>
          <w:sz w:val="22"/>
          <w:szCs w:val="22"/>
        </w:rPr>
        <w:t xml:space="preserve">: </w:t>
      </w:r>
      <w:r w:rsidR="00DB7A43" w:rsidRPr="009A6F2A">
        <w:rPr>
          <w:rFonts w:eastAsia="Calibri" w:cstheme="minorHAnsi"/>
          <w:color w:val="DB350F"/>
          <w:sz w:val="22"/>
          <w:szCs w:val="22"/>
        </w:rPr>
        <w:t>Required on all syllabi. Do not modify.</w:t>
      </w:r>
    </w:p>
    <w:p w14:paraId="6C7EE8BE" w14:textId="75E4DE93" w:rsidR="00DB7A43" w:rsidRPr="004419AF" w:rsidRDefault="00DB7A43" w:rsidP="00DB7A43">
      <w:pPr>
        <w:spacing w:beforeAutospacing="1" w:after="0" w:line="240" w:lineRule="auto"/>
        <w:contextualSpacing/>
        <w:jc w:val="both"/>
        <w:rPr>
          <w:rFonts w:cstheme="minorHAnsi"/>
          <w:sz w:val="22"/>
          <w:szCs w:val="22"/>
        </w:rPr>
      </w:pPr>
      <w:r w:rsidRPr="004419AF">
        <w:rPr>
          <w:rFonts w:cstheme="minorHAnsi"/>
          <w:sz w:val="22"/>
          <w:szCs w:val="22"/>
        </w:rPr>
        <w:t>As part of the university’s ongoing COVID-19 mitigation efforts to maintain a healthy environment for all members of our campus community, anyone entering a campus building must wear a face covering that covers the mouth and nose. The covering must be worn in all hallways, public spaces,</w:t>
      </w:r>
      <w:r w:rsidR="00601E49">
        <w:rPr>
          <w:rFonts w:cstheme="minorHAnsi"/>
          <w:sz w:val="22"/>
          <w:szCs w:val="22"/>
        </w:rPr>
        <w:t xml:space="preserve"> </w:t>
      </w:r>
      <w:r w:rsidRPr="004419AF">
        <w:rPr>
          <w:rFonts w:cstheme="minorHAnsi"/>
          <w:sz w:val="22"/>
          <w:szCs w:val="22"/>
        </w:rPr>
        <w:t>research</w:t>
      </w:r>
      <w:r w:rsidR="00601E49">
        <w:rPr>
          <w:rFonts w:cstheme="minorHAnsi"/>
          <w:sz w:val="22"/>
          <w:szCs w:val="22"/>
        </w:rPr>
        <w:t xml:space="preserve"> </w:t>
      </w:r>
      <w:r w:rsidRPr="004419AF">
        <w:rPr>
          <w:rFonts w:cstheme="minorHAnsi"/>
          <w:sz w:val="22"/>
          <w:szCs w:val="22"/>
        </w:rPr>
        <w:t>labs, teaching/computer labs, libraries, classrooms, automobiles with a passenger, stairwells, elevators and common areas, as well as office spaces. In office spaces, when social distancing of 6 feet is possible and maintained, face coverings may be removed. Face coverings also are required in outdoor settings when safe social distancing and gathering practices are not possible.</w:t>
      </w:r>
    </w:p>
    <w:p w14:paraId="679C6949" w14:textId="77777777" w:rsidR="00DB7A43" w:rsidRDefault="00DB7A43" w:rsidP="30D2F47D">
      <w:pPr>
        <w:spacing w:before="0" w:after="0" w:line="240" w:lineRule="auto"/>
        <w:rPr>
          <w:rFonts w:cstheme="minorHAnsi"/>
          <w:b/>
          <w:caps/>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4419AF" w:rsidRDefault="30D2F47D" w:rsidP="30D2F47D">
      <w:pPr>
        <w:spacing w:before="0" w:after="0" w:line="240" w:lineRule="auto"/>
        <w:rPr>
          <w:rFonts w:cstheme="minorHAnsi"/>
          <w:sz w:val="22"/>
          <w:szCs w:val="22"/>
        </w:rPr>
      </w:pPr>
      <w:r w:rsidRPr="004419AF">
        <w:rPr>
          <w:rFonts w:cstheme="minorHAnsi"/>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4419AF">
        <w:rPr>
          <w:rFonts w:cstheme="minorHAnsi"/>
          <w:sz w:val="22"/>
          <w:szCs w:val="22"/>
        </w:rPr>
        <w:t>, including a l</w:t>
      </w:r>
      <w:r w:rsidR="00A07006" w:rsidRPr="004419AF">
        <w:rPr>
          <w:rFonts w:cstheme="minorHAnsi"/>
          <w:sz w:val="22"/>
          <w:szCs w:val="22"/>
        </w:rPr>
        <w:t>ist of current accrediting affiliations</w:t>
      </w:r>
      <w:r w:rsidRPr="004419AF">
        <w:rPr>
          <w:rFonts w:cstheme="minorHAnsi"/>
          <w:sz w:val="22"/>
          <w:szCs w:val="22"/>
        </w:rPr>
        <w:t>.</w:t>
      </w:r>
      <w:r w:rsidR="00AD7CB6" w:rsidRPr="004419AF">
        <w:rPr>
          <w:rFonts w:cstheme="minorHAnsi"/>
          <w:sz w:val="22"/>
          <w:szCs w:val="22"/>
        </w:rPr>
        <w:t xml:space="preserve"> Consult your department</w:t>
      </w:r>
      <w:r w:rsidR="008B5E23" w:rsidRPr="004419AF">
        <w:rPr>
          <w:rFonts w:cstheme="minorHAnsi"/>
          <w:sz w:val="22"/>
          <w:szCs w:val="22"/>
        </w:rPr>
        <w:t>/college</w:t>
      </w:r>
      <w:r w:rsidR="00AD7CB6" w:rsidRPr="004419AF">
        <w:rPr>
          <w:rFonts w:cstheme="minorHAnsi"/>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lastRenderedPageBreak/>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30D2F47D">
            <w:pP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385873CA" w14:textId="4B78D8E3" w:rsidR="00E82FD7" w:rsidRPr="004419AF" w:rsidRDefault="00E82FD7" w:rsidP="00E82817">
      <w:pPr>
        <w:rPr>
          <w:rFonts w:cstheme="minorHAnsi"/>
          <w:b/>
          <w:sz w:val="22"/>
          <w:szCs w:val="22"/>
        </w:rPr>
      </w:pPr>
      <w:r w:rsidRPr="004419AF">
        <w:rPr>
          <w:rFonts w:cstheme="minorHAnsi"/>
          <w:b/>
          <w:caps/>
          <w:sz w:val="22"/>
          <w:szCs w:val="22"/>
        </w:rPr>
        <w:t>Learning Objectives for Core Curriculum Requirements</w:t>
      </w:r>
      <w:r w:rsidR="00750764">
        <w:rPr>
          <w:rFonts w:cstheme="minorHAnsi"/>
          <w:b/>
          <w:caps/>
          <w:sz w:val="22"/>
          <w:szCs w:val="22"/>
        </w:rPr>
        <w:t xml:space="preserve"> (if applicable)</w:t>
      </w:r>
    </w:p>
    <w:p w14:paraId="0152ABB5" w14:textId="7367F4C1" w:rsidR="004419AF" w:rsidRDefault="000F44D1" w:rsidP="00334891">
      <w:pPr>
        <w:spacing w:before="0" w:after="0" w:line="240" w:lineRule="auto"/>
        <w:rPr>
          <w:rFonts w:cstheme="minorHAnsi"/>
          <w:sz w:val="22"/>
          <w:szCs w:val="22"/>
        </w:rPr>
      </w:pPr>
      <w:r w:rsidRPr="004419AF">
        <w:rPr>
          <w:rFonts w:cstheme="minorHAnsi"/>
          <w:sz w:val="22"/>
          <w:szCs w:val="22"/>
        </w:rPr>
        <w:t>S</w:t>
      </w:r>
      <w:r w:rsidR="00E82FD7" w:rsidRPr="004419AF">
        <w:rPr>
          <w:rFonts w:cstheme="minorHAnsi"/>
          <w:sz w:val="22"/>
          <w:szCs w:val="22"/>
        </w:rPr>
        <w:t xml:space="preserve">tate </w:t>
      </w:r>
      <w:r w:rsidR="003D5994" w:rsidRPr="004419AF">
        <w:rPr>
          <w:rFonts w:cstheme="minorHAnsi"/>
          <w:sz w:val="22"/>
          <w:szCs w:val="22"/>
        </w:rPr>
        <w:t>wh</w:t>
      </w:r>
      <w:r w:rsidR="003D5994">
        <w:rPr>
          <w:rFonts w:cstheme="minorHAnsi"/>
          <w:sz w:val="22"/>
          <w:szCs w:val="22"/>
        </w:rPr>
        <w:t>ich</w:t>
      </w:r>
      <w:r w:rsidR="003D5994" w:rsidRPr="004419AF">
        <w:rPr>
          <w:rFonts w:cstheme="minorHAnsi"/>
          <w:sz w:val="22"/>
          <w:szCs w:val="22"/>
        </w:rPr>
        <w:t xml:space="preserve"> </w:t>
      </w:r>
      <w:r w:rsidR="00E82FD7" w:rsidRPr="004419AF">
        <w:rPr>
          <w:rFonts w:cstheme="minorHAnsi"/>
          <w:sz w:val="22"/>
          <w:szCs w:val="22"/>
        </w:rPr>
        <w:t xml:space="preserve">core curriculum </w:t>
      </w:r>
      <w:r w:rsidR="00334891" w:rsidRPr="004419AF">
        <w:rPr>
          <w:rFonts w:cstheme="minorHAnsi"/>
          <w:sz w:val="22"/>
          <w:szCs w:val="22"/>
        </w:rPr>
        <w:t>requirement</w:t>
      </w:r>
      <w:r w:rsidRPr="004419AF">
        <w:rPr>
          <w:rFonts w:cstheme="minorHAnsi"/>
          <w:sz w:val="22"/>
          <w:szCs w:val="22"/>
        </w:rPr>
        <w:t xml:space="preserve"> </w:t>
      </w:r>
      <w:r w:rsidR="003D5994">
        <w:rPr>
          <w:rFonts w:cstheme="minorHAnsi"/>
          <w:sz w:val="22"/>
          <w:szCs w:val="22"/>
        </w:rPr>
        <w:t xml:space="preserve">your course </w:t>
      </w:r>
      <w:r w:rsidR="00B4758E">
        <w:rPr>
          <w:rFonts w:cstheme="minorHAnsi"/>
          <w:sz w:val="22"/>
          <w:szCs w:val="22"/>
        </w:rPr>
        <w:t>satisfies and</w:t>
      </w:r>
      <w:r w:rsidRPr="004419AF">
        <w:rPr>
          <w:rFonts w:cstheme="minorHAnsi"/>
          <w:sz w:val="22"/>
          <w:szCs w:val="22"/>
        </w:rPr>
        <w:t xml:space="preserve"> </w:t>
      </w:r>
      <w:r w:rsidR="00053915">
        <w:rPr>
          <w:rFonts w:cstheme="minorHAnsi"/>
          <w:sz w:val="22"/>
          <w:szCs w:val="22"/>
        </w:rPr>
        <w:t>list the required</w:t>
      </w:r>
      <w:r w:rsidR="00053915" w:rsidRPr="004419AF">
        <w:rPr>
          <w:rFonts w:cstheme="minorHAnsi"/>
          <w:sz w:val="22"/>
          <w:szCs w:val="22"/>
        </w:rPr>
        <w:t xml:space="preserve"> </w:t>
      </w:r>
      <w:r w:rsidRPr="004419AF">
        <w:rPr>
          <w:rFonts w:cstheme="minorHAnsi"/>
          <w:sz w:val="22"/>
          <w:szCs w:val="22"/>
        </w:rPr>
        <w:t>core outcomes</w:t>
      </w:r>
      <w:r w:rsidR="00053915">
        <w:rPr>
          <w:rFonts w:cstheme="minorHAnsi"/>
          <w:sz w:val="22"/>
          <w:szCs w:val="22"/>
        </w:rPr>
        <w:t xml:space="preserve"> for your core area</w:t>
      </w:r>
      <w:r w:rsidR="003D5994">
        <w:rPr>
          <w:rFonts w:cstheme="minorHAnsi"/>
          <w:sz w:val="22"/>
          <w:szCs w:val="22"/>
        </w:rPr>
        <w:t xml:space="preserve">. </w:t>
      </w:r>
      <w:r w:rsidR="00053915">
        <w:rPr>
          <w:rFonts w:cstheme="minorHAnsi"/>
          <w:sz w:val="22"/>
          <w:szCs w:val="22"/>
        </w:rPr>
        <w:t xml:space="preserve"> </w:t>
      </w:r>
      <w:r w:rsidR="003D5994">
        <w:rPr>
          <w:rFonts w:cstheme="minorHAnsi"/>
          <w:sz w:val="22"/>
          <w:szCs w:val="22"/>
        </w:rPr>
        <w:t xml:space="preserve">The </w:t>
      </w:r>
      <w:r w:rsidR="003868E8">
        <w:rPr>
          <w:rFonts w:cstheme="minorHAnsi"/>
          <w:sz w:val="22"/>
          <w:szCs w:val="22"/>
        </w:rPr>
        <w:t>S</w:t>
      </w:r>
      <w:r w:rsidR="00C756B8">
        <w:rPr>
          <w:rFonts w:cstheme="minorHAnsi"/>
          <w:sz w:val="22"/>
          <w:szCs w:val="22"/>
        </w:rPr>
        <w:t>tudent Learning Outcome (SLO) statements</w:t>
      </w:r>
      <w:r w:rsidR="003868E8">
        <w:rPr>
          <w:rFonts w:cstheme="minorHAnsi"/>
          <w:sz w:val="22"/>
          <w:szCs w:val="22"/>
        </w:rPr>
        <w:t xml:space="preserve"> </w:t>
      </w:r>
      <w:r w:rsidR="007705C6">
        <w:rPr>
          <w:rFonts w:cstheme="minorHAnsi"/>
          <w:sz w:val="22"/>
          <w:szCs w:val="22"/>
        </w:rPr>
        <w:t xml:space="preserve">which have been approved for use at UTRGV </w:t>
      </w:r>
      <w:r w:rsidR="003868E8">
        <w:rPr>
          <w:rFonts w:cstheme="minorHAnsi"/>
          <w:sz w:val="22"/>
          <w:szCs w:val="22"/>
        </w:rPr>
        <w:t>are listed below so you can copy and paste them on your syllabus</w:t>
      </w:r>
      <w:r w:rsidR="00E82FD7" w:rsidRPr="004419AF">
        <w:rPr>
          <w:rFonts w:cstheme="minorHAnsi"/>
          <w:sz w:val="22"/>
          <w:szCs w:val="22"/>
        </w:rPr>
        <w:t>.</w:t>
      </w:r>
      <w:r w:rsidR="00053915">
        <w:rPr>
          <w:rFonts w:cstheme="minorHAnsi"/>
          <w:sz w:val="22"/>
          <w:szCs w:val="22"/>
        </w:rPr>
        <w:t xml:space="preserve"> </w:t>
      </w:r>
      <w:r w:rsidR="003868E8">
        <w:rPr>
          <w:rFonts w:cstheme="minorHAnsi"/>
          <w:sz w:val="22"/>
          <w:szCs w:val="22"/>
        </w:rPr>
        <w:t>Each core area has a required set of 3-4 outcomes as indicated below</w:t>
      </w:r>
      <w:r w:rsidR="00053915">
        <w:rPr>
          <w:rFonts w:cstheme="minorHAnsi"/>
          <w:sz w:val="22"/>
          <w:szCs w:val="22"/>
        </w:rPr>
        <w:t xml:space="preserve">. </w:t>
      </w:r>
    </w:p>
    <w:p w14:paraId="21A4CF19" w14:textId="2C261DD8" w:rsidR="00053915" w:rsidRDefault="00053915" w:rsidP="00334891">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3D5994" w:rsidRPr="006F6DA9" w14:paraId="63BC9B5C" w14:textId="6A6C2E4B" w:rsidTr="00BA3FFB">
        <w:trPr>
          <w:trHeight w:hRule="exact" w:val="243"/>
          <w:tblHeader/>
        </w:trPr>
        <w:tc>
          <w:tcPr>
            <w:tcW w:w="0" w:type="auto"/>
          </w:tcPr>
          <w:p w14:paraId="213D0499"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CE6223F"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5338D6E6" w14:textId="16E16614"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3D5994" w:rsidRPr="006F6DA9" w14:paraId="0A9899E4" w14:textId="469925B9" w:rsidTr="00BA3FFB">
        <w:trPr>
          <w:trHeight w:hRule="exact" w:val="1585"/>
        </w:trPr>
        <w:tc>
          <w:tcPr>
            <w:tcW w:w="0" w:type="auto"/>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at</w:t>
            </w:r>
            <w:r w:rsidR="003D5994" w:rsidRPr="00601E49">
              <w:rPr>
                <w:rFonts w:asciiTheme="minorHAnsi" w:hAnsiTheme="minorHAnsi" w:cstheme="minorHAnsi"/>
                <w:sz w:val="20"/>
                <w:szCs w:val="20"/>
              </w:rPr>
              <w:t xml:space="preserve">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2966B1A" w14:textId="17B17798" w:rsidTr="00BA3FFB">
        <w:trPr>
          <w:trHeight w:hRule="exact" w:val="1351"/>
        </w:trPr>
        <w:tc>
          <w:tcPr>
            <w:tcW w:w="0" w:type="auto"/>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conventions,</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A345C11" w14:textId="26D916FD" w:rsidTr="00BA3FFB">
        <w:trPr>
          <w:trHeight w:hRule="exact" w:val="910"/>
        </w:trPr>
        <w:tc>
          <w:tcPr>
            <w:tcW w:w="0" w:type="auto"/>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37F918AC" w14:textId="2B02F447" w:rsidR="00053915" w:rsidRPr="00601E49" w:rsidRDefault="00053915" w:rsidP="003D5994">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empirical</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3D5994" w:rsidRPr="006F6DA9" w14:paraId="23847770" w14:textId="32349757" w:rsidTr="00BA3FFB">
        <w:trPr>
          <w:trHeight w:hRule="exact" w:val="1008"/>
        </w:trPr>
        <w:tc>
          <w:tcPr>
            <w:tcW w:w="0" w:type="auto"/>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3D5994" w:rsidRPr="006F6DA9" w14:paraId="15725A2C" w14:textId="32F16D9B" w:rsidTr="00BA3FFB">
        <w:trPr>
          <w:trHeight w:hRule="exact" w:val="1585"/>
        </w:trPr>
        <w:tc>
          <w:tcPr>
            <w:tcW w:w="0" w:type="auto"/>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3D5994" w:rsidRPr="006F6DA9" w14:paraId="6758B008" w14:textId="5ED4C304" w:rsidTr="00BA3FFB">
        <w:trPr>
          <w:trHeight w:hRule="exact" w:val="1152"/>
        </w:trPr>
        <w:tc>
          <w:tcPr>
            <w:tcW w:w="0" w:type="auto"/>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lastRenderedPageBreak/>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4D53C1C2" w14:textId="77777777" w:rsidR="00053915" w:rsidRDefault="00053915" w:rsidP="00334891">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rsidRPr="00154E46">
        <w:t>Textbook, TECHNOLOGY, and/or Resource Material</w:t>
      </w:r>
    </w:p>
    <w:p w14:paraId="20829F15"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List required o</w:t>
      </w:r>
      <w:r>
        <w:rPr>
          <w:rFonts w:cstheme="minorHAnsi"/>
          <w:sz w:val="22"/>
          <w:szCs w:val="22"/>
        </w:rPr>
        <w:t>f</w:t>
      </w:r>
      <w:r w:rsidRPr="004419AF">
        <w:rPr>
          <w:rFonts w:cstheme="minorHAnsi"/>
          <w:sz w:val="22"/>
          <w:szCs w:val="22"/>
        </w:rPr>
        <w:t xml:space="preserve"> recommended textbooks, reading, and/or any resource material necessary for this course.</w:t>
      </w:r>
    </w:p>
    <w:p w14:paraId="4E1DB07C" w14:textId="77777777" w:rsidR="00C67C22" w:rsidRPr="004419AF" w:rsidRDefault="00C67C22" w:rsidP="00C67C22">
      <w:pPr>
        <w:spacing w:before="0" w:after="0" w:line="240" w:lineRule="auto"/>
        <w:rPr>
          <w:rFonts w:cstheme="minorHAnsi"/>
          <w:sz w:val="22"/>
          <w:szCs w:val="22"/>
        </w:rPr>
      </w:pPr>
    </w:p>
    <w:p w14:paraId="6408664D"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6" w:history="1">
        <w:r w:rsidRPr="004419AF">
          <w:rPr>
            <w:rStyle w:val="Hyperlink"/>
            <w:rFonts w:cstheme="minorHAnsi"/>
            <w:sz w:val="22"/>
            <w:szCs w:val="22"/>
          </w:rPr>
          <w:t>Textbook Resource Tool</w:t>
        </w:r>
      </w:hyperlink>
      <w:r w:rsidRPr="004419AF">
        <w:rPr>
          <w:rFonts w:cstheme="minorHAnsi"/>
          <w:sz w:val="22"/>
          <w:szCs w:val="22"/>
        </w:rPr>
        <w:t xml:space="preserve"> quick guide.</w:t>
      </w:r>
    </w:p>
    <w:p w14:paraId="31498F56" w14:textId="77777777" w:rsidR="00C67C22" w:rsidRPr="004419AF" w:rsidRDefault="00C67C22" w:rsidP="00C67C22">
      <w:pPr>
        <w:spacing w:before="0" w:after="0" w:line="240" w:lineRule="auto"/>
        <w:rPr>
          <w:rFonts w:cstheme="minorHAnsi"/>
          <w:sz w:val="22"/>
          <w:szCs w:val="22"/>
        </w:rPr>
      </w:pPr>
    </w:p>
    <w:p w14:paraId="6E0C9747" w14:textId="77777777" w:rsidR="00C67C22" w:rsidRPr="004419AF" w:rsidRDefault="00C67C22" w:rsidP="00C67C22">
      <w:pPr>
        <w:spacing w:before="0" w:after="0" w:line="240" w:lineRule="auto"/>
        <w:ind w:left="720"/>
        <w:rPr>
          <w:rFonts w:cstheme="minorHAnsi"/>
          <w:sz w:val="22"/>
          <w:szCs w:val="22"/>
        </w:rPr>
      </w:pPr>
      <w:r w:rsidRPr="004419AF">
        <w:rPr>
          <w:rFonts w:cstheme="minorHAnsi"/>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4419AF" w:rsidRDefault="00C67C22" w:rsidP="00C67C22">
      <w:pPr>
        <w:spacing w:before="0" w:after="0" w:line="240" w:lineRule="auto"/>
        <w:rPr>
          <w:rFonts w:cstheme="minorHAnsi"/>
          <w:sz w:val="22"/>
          <w:szCs w:val="22"/>
        </w:rPr>
      </w:pPr>
    </w:p>
    <w:p w14:paraId="4F6A64A0" w14:textId="0B30C843" w:rsidR="00C67C22" w:rsidRPr="005B1F96" w:rsidRDefault="00C67C22" w:rsidP="00C67C22">
      <w:pPr>
        <w:spacing w:before="0" w:after="160" w:line="259" w:lineRule="auto"/>
        <w:rPr>
          <w:rFonts w:cstheme="minorHAnsi"/>
          <w:color w:val="538135" w:themeColor="accent6" w:themeShade="BF"/>
          <w:sz w:val="22"/>
          <w:szCs w:val="22"/>
        </w:rPr>
      </w:pPr>
      <w:r w:rsidRPr="008A7B6E">
        <w:rPr>
          <w:rFonts w:cstheme="minorHAnsi"/>
          <w:sz w:val="22"/>
          <w:szCs w:val="22"/>
        </w:rPr>
        <w:t xml:space="preserve">Please include technology recommendations for maximum success in the chosen course modality. Faculty may elect to include recommendations for the Dell and Apple bundles available </w:t>
      </w:r>
      <w:hyperlink r:id="rId17" w:history="1">
        <w:r w:rsidRPr="00B4758E">
          <w:rPr>
            <w:rStyle w:val="Hyperlink"/>
            <w:rFonts w:cstheme="minorHAnsi"/>
            <w:sz w:val="22"/>
            <w:szCs w:val="22"/>
          </w:rPr>
          <w:t xml:space="preserve">at the </w:t>
        </w:r>
        <w:r w:rsidR="00B4758E">
          <w:rPr>
            <w:rStyle w:val="Hyperlink"/>
            <w:rFonts w:cstheme="minorHAnsi"/>
            <w:sz w:val="22"/>
            <w:szCs w:val="22"/>
          </w:rPr>
          <w:t xml:space="preserve">UTRGV </w:t>
        </w:r>
        <w:r w:rsidRPr="00B4758E">
          <w:rPr>
            <w:rStyle w:val="Hyperlink"/>
            <w:rFonts w:cstheme="minorHAnsi"/>
            <w:sz w:val="22"/>
            <w:szCs w:val="22"/>
          </w:rPr>
          <w:t>bookstore</w:t>
        </w:r>
      </w:hyperlink>
      <w:r w:rsidRPr="008A7B6E">
        <w:rPr>
          <w:rFonts w:cstheme="minorHAnsi"/>
          <w:sz w:val="22"/>
          <w:szCs w:val="22"/>
        </w:rPr>
        <w:t xml:space="preserve"> (</w:t>
      </w:r>
      <w:hyperlink r:id="rId18" w:history="1">
        <w:r w:rsidRPr="008A7B6E">
          <w:rPr>
            <w:rStyle w:val="Hyperlink"/>
            <w:rFonts w:cstheme="minorHAnsi"/>
            <w:color w:val="4472C4" w:themeColor="accent5"/>
            <w:sz w:val="22"/>
            <w:szCs w:val="22"/>
          </w:rPr>
          <w:t>https://link.utrgv.edu/campusstores-tech/</w:t>
        </w:r>
      </w:hyperlink>
      <w:r w:rsidRPr="008A7B6E">
        <w:rPr>
          <w:rFonts w:cstheme="minorHAnsi"/>
          <w:sz w:val="22"/>
          <w:szCs w:val="22"/>
        </w:rPr>
        <w:t>), add custom recommendations, contact IT for guidance on recommendations (Robert.Allen@utrgv.edu), or copy and paste from the attached Ed</w:t>
      </w:r>
      <w:r w:rsidR="00C756B8">
        <w:rPr>
          <w:rFonts w:cstheme="minorHAnsi"/>
          <w:sz w:val="22"/>
          <w:szCs w:val="22"/>
        </w:rPr>
        <w:t xml:space="preserve">ucational </w:t>
      </w:r>
      <w:r w:rsidRPr="008A7B6E">
        <w:rPr>
          <w:rFonts w:cstheme="minorHAnsi"/>
          <w:sz w:val="22"/>
          <w:szCs w:val="22"/>
        </w:rPr>
        <w:t>Tech</w:t>
      </w:r>
      <w:r w:rsidR="00C756B8">
        <w:rPr>
          <w:rFonts w:cstheme="minorHAnsi"/>
          <w:sz w:val="22"/>
          <w:szCs w:val="22"/>
        </w:rPr>
        <w:t>nology</w:t>
      </w:r>
      <w:r w:rsidRPr="008A7B6E">
        <w:rPr>
          <w:rFonts w:cstheme="minorHAnsi"/>
          <w:sz w:val="22"/>
          <w:szCs w:val="22"/>
        </w:rPr>
        <w:t xml:space="preserve"> and IT recommendations.</w:t>
      </w:r>
    </w:p>
    <w:p w14:paraId="117B549A" w14:textId="1659939F" w:rsidR="0020719D" w:rsidRPr="004419AF" w:rsidRDefault="0020719D" w:rsidP="0020719D">
      <w:pPr>
        <w:spacing w:before="0" w:after="0" w:line="240" w:lineRule="auto"/>
        <w:rPr>
          <w:rFonts w:cstheme="minorHAnsi"/>
          <w:b/>
          <w:color w:val="808080" w:themeColor="background1" w:themeShade="80"/>
          <w:sz w:val="22"/>
          <w:szCs w:val="22"/>
        </w:rPr>
      </w:pPr>
      <w:r w:rsidRPr="00BA3FFB">
        <w:rPr>
          <w:rStyle w:val="Heading1Char"/>
        </w:rPr>
        <w:t>Designations</w:t>
      </w:r>
      <w:r w:rsidR="000D65DB" w:rsidRPr="00BA3FFB">
        <w:rPr>
          <w:rStyle w:val="Heading1Char"/>
        </w:rPr>
        <w:t xml:space="preserve"> </w:t>
      </w:r>
      <w:r w:rsidR="000D65DB" w:rsidRPr="009A6F2A">
        <w:rPr>
          <w:rFonts w:cstheme="minorHAnsi"/>
          <w:b/>
          <w:color w:val="525252" w:themeColor="accent3" w:themeShade="80"/>
          <w:sz w:val="22"/>
          <w:szCs w:val="22"/>
        </w:rPr>
        <w:t>(</w:t>
      </w:r>
      <w:r w:rsidR="006A0B62" w:rsidRPr="009A6F2A">
        <w:rPr>
          <w:rFonts w:cstheme="minorHAnsi"/>
          <w:b/>
          <w:color w:val="525252" w:themeColor="accent3" w:themeShade="80"/>
          <w:sz w:val="22"/>
          <w:szCs w:val="22"/>
        </w:rPr>
        <w:t>i</w:t>
      </w:r>
      <w:r w:rsidR="000D65DB" w:rsidRPr="009A6F2A">
        <w:rPr>
          <w:rFonts w:cstheme="minorHAnsi"/>
          <w:b/>
          <w:color w:val="525252" w:themeColor="accent3" w:themeShade="80"/>
          <w:sz w:val="22"/>
          <w:szCs w:val="22"/>
        </w:rPr>
        <w:t>f applicable)</w:t>
      </w:r>
    </w:p>
    <w:p w14:paraId="43EFFEEF" w14:textId="62B2C9D8" w:rsidR="009D0AF6" w:rsidRPr="004419AF" w:rsidRDefault="009D0AF6" w:rsidP="009D0AF6">
      <w:pPr>
        <w:spacing w:before="0" w:after="0" w:line="240" w:lineRule="auto"/>
        <w:rPr>
          <w:rFonts w:cstheme="minorHAnsi"/>
          <w:sz w:val="22"/>
          <w:szCs w:val="22"/>
        </w:rPr>
      </w:pPr>
      <w:r w:rsidRPr="004419AF">
        <w:rPr>
          <w:rFonts w:cstheme="minorHAnsi"/>
          <w:sz w:val="22"/>
          <w:szCs w:val="22"/>
        </w:rPr>
        <w:t xml:space="preserve">If your course is designated as </w:t>
      </w:r>
      <w:hyperlink r:id="rId19" w:history="1">
        <w:r w:rsidRPr="004419AF">
          <w:rPr>
            <w:rStyle w:val="Hyperlink"/>
            <w:rFonts w:cstheme="minorHAnsi"/>
            <w:b/>
            <w:bCs/>
            <w:sz w:val="22"/>
            <w:szCs w:val="22"/>
          </w:rPr>
          <w:t>Service Learning</w:t>
        </w:r>
      </w:hyperlink>
      <w:r w:rsidRPr="004419AF">
        <w:rPr>
          <w:rFonts w:cstheme="minorHAnsi"/>
          <w:sz w:val="22"/>
          <w:szCs w:val="22"/>
        </w:rPr>
        <w:t xml:space="preserve"> or integrates </w:t>
      </w:r>
      <w:hyperlink r:id="rId20" w:history="1">
        <w:r w:rsidRPr="004419AF">
          <w:rPr>
            <w:rStyle w:val="Hyperlink"/>
            <w:rFonts w:cstheme="minorHAnsi"/>
            <w:b/>
            <w:bCs/>
            <w:sz w:val="22"/>
            <w:szCs w:val="22"/>
          </w:rPr>
          <w:t>Sustainable Development Goals</w:t>
        </w:r>
      </w:hyperlink>
      <w:r w:rsidRPr="004419AF">
        <w:rPr>
          <w:rFonts w:cstheme="minorHAnsi"/>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4419AF" w:rsidRDefault="00334891" w:rsidP="00334891">
      <w:pPr>
        <w:spacing w:before="0" w:after="0" w:line="240" w:lineRule="auto"/>
        <w:rPr>
          <w:rFonts w:cstheme="minorHAnsi"/>
          <w:sz w:val="22"/>
          <w:szCs w:val="22"/>
        </w:rPr>
      </w:pPr>
      <w:r w:rsidRPr="004419AF">
        <w:rPr>
          <w:rFonts w:cstheme="minorHAnsi"/>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345059AB" w14:textId="339CA6CD" w:rsidR="003B6839" w:rsidRPr="004419AF" w:rsidRDefault="003B6839" w:rsidP="003B6839">
      <w:pPr>
        <w:spacing w:before="0" w:after="0" w:line="240" w:lineRule="auto"/>
        <w:rPr>
          <w:rFonts w:cstheme="minorHAnsi"/>
          <w:b/>
          <w:color w:val="808080" w:themeColor="background1" w:themeShade="80"/>
          <w:sz w:val="22"/>
          <w:szCs w:val="22"/>
        </w:rPr>
      </w:pPr>
      <w:r w:rsidRPr="009A6F2A">
        <w:rPr>
          <w:rFonts w:cstheme="minorHAnsi"/>
          <w:b/>
          <w:color w:val="525252" w:themeColor="accent3" w:themeShade="80"/>
          <w:sz w:val="22"/>
          <w:szCs w:val="22"/>
        </w:rPr>
        <w:t>(If you're using Respondus Monitor in your course, include the following statement in your Syllabus and in Blackboard) </w:t>
      </w:r>
    </w:p>
    <w:p w14:paraId="098CD170" w14:textId="77777777" w:rsidR="003B6839" w:rsidRPr="004419AF" w:rsidRDefault="003B6839" w:rsidP="003B6839">
      <w:pPr>
        <w:spacing w:before="0" w:after="0" w:line="240" w:lineRule="auto"/>
        <w:rPr>
          <w:rFonts w:cstheme="minorHAnsi"/>
          <w:sz w:val="22"/>
          <w:szCs w:val="22"/>
        </w:rPr>
      </w:pP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Respondus Lockdown Browser and Respondus Monitor for online assessment proctoring. LockDown Browser is a custom browser that locks down the testing environment within Blackboard and replaces regular browsers such as Chrome, Firefox, and Safari. Respondus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69B8AD6B" w:rsidR="00E82817" w:rsidRDefault="003B6839" w:rsidP="00334891">
      <w:pPr>
        <w:spacing w:before="0" w:after="0" w:line="240" w:lineRule="auto"/>
        <w:rPr>
          <w:rFonts w:cstheme="minorHAnsi"/>
          <w:sz w:val="22"/>
          <w:szCs w:val="22"/>
        </w:rPr>
      </w:pPr>
      <w:r w:rsidRPr="004419AF">
        <w:rPr>
          <w:rFonts w:cstheme="minorHAnsi"/>
          <w:sz w:val="22"/>
          <w:szCs w:val="22"/>
        </w:rPr>
        <w:t xml:space="preserve">You can find more detailed information on </w:t>
      </w:r>
      <w:hyperlink r:id="rId21" w:history="1">
        <w:r w:rsidRPr="00B4758E">
          <w:rPr>
            <w:rStyle w:val="Hyperlink"/>
            <w:rFonts w:cstheme="minorHAnsi"/>
            <w:sz w:val="22"/>
            <w:szCs w:val="22"/>
          </w:rPr>
          <w:t>Lockdown Browser and Monitor</w:t>
        </w:r>
      </w:hyperlink>
      <w:r w:rsidRPr="004419AF">
        <w:rPr>
          <w:rFonts w:cstheme="minorHAnsi"/>
          <w:sz w:val="22"/>
          <w:szCs w:val="22"/>
        </w:rPr>
        <w:t xml:space="preserve"> at </w:t>
      </w:r>
      <w:hyperlink r:id="rId22" w:history="1">
        <w:r w:rsidRPr="004419AF">
          <w:rPr>
            <w:rStyle w:val="Hyperlink"/>
            <w:rFonts w:cstheme="minorHAnsi"/>
            <w:sz w:val="22"/>
            <w:szCs w:val="22"/>
          </w:rPr>
          <w:t>UTRGV.edu/online</w:t>
        </w:r>
      </w:hyperlink>
      <w:r w:rsidRPr="004419AF">
        <w:rPr>
          <w:rFonts w:cstheme="minorHAnsi"/>
          <w:sz w:val="22"/>
          <w:szCs w:val="22"/>
        </w:rPr>
        <w:t>.</w:t>
      </w:r>
    </w:p>
    <w:p w14:paraId="6CE1DE1A" w14:textId="30126B6E" w:rsidR="00C756B8" w:rsidRDefault="00C756B8" w:rsidP="00334891">
      <w:pPr>
        <w:spacing w:before="0" w:after="0" w:line="240" w:lineRule="auto"/>
        <w:rPr>
          <w:rFonts w:cstheme="minorHAnsi"/>
          <w:sz w:val="22"/>
          <w:szCs w:val="22"/>
        </w:rPr>
      </w:pPr>
    </w:p>
    <w:p w14:paraId="4DB028A9" w14:textId="7A14C318" w:rsidR="00C756B8" w:rsidRDefault="00C756B8" w:rsidP="00334891">
      <w:pPr>
        <w:spacing w:before="0" w:after="0" w:line="240" w:lineRule="auto"/>
        <w:rPr>
          <w:rFonts w:cstheme="minorHAnsi"/>
          <w:sz w:val="22"/>
          <w:szCs w:val="22"/>
        </w:rPr>
      </w:pPr>
    </w:p>
    <w:p w14:paraId="098D588C" w14:textId="77777777" w:rsidR="00C756B8" w:rsidRDefault="00C756B8" w:rsidP="00334891">
      <w:pPr>
        <w:spacing w:before="0" w:after="0" w:line="240" w:lineRule="auto"/>
        <w:rPr>
          <w:rFonts w:cstheme="minorHAnsi"/>
          <w:sz w:val="22"/>
          <w:szCs w:val="22"/>
        </w:rPr>
      </w:pP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lastRenderedPageBreak/>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23"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4"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004419AF">
      <w:pPr>
        <w:spacing w:before="0" w:after="0" w:line="240" w:lineRule="auto"/>
        <w:rPr>
          <w:rFonts w:cstheme="minorHAnsi"/>
          <w:color w:val="808080" w:themeColor="background1" w:themeShade="80"/>
          <w:sz w:val="22"/>
          <w:szCs w:val="22"/>
        </w:rPr>
      </w:pPr>
      <w:r w:rsidRPr="00BA3FFB">
        <w:rPr>
          <w:rStyle w:val="Heading1Char"/>
        </w:rPr>
        <w:t>ATTENDANCE:</w:t>
      </w:r>
      <w:r w:rsidRPr="004419AF">
        <w:rPr>
          <w:rFonts w:cstheme="minorHAnsi"/>
          <w:sz w:val="22"/>
          <w:szCs w:val="22"/>
        </w:rPr>
        <w:t xml:space="preserve"> </w:t>
      </w:r>
      <w:r w:rsidRPr="009A6F2A">
        <w:rPr>
          <w:rFonts w:cstheme="minorHAnsi"/>
          <w:color w:val="525252" w:themeColor="accent3" w:themeShade="80"/>
          <w:sz w:val="22"/>
          <w:szCs w:val="22"/>
        </w:rPr>
        <w:t>Recommended on all syllabi; may be modified by the instructor as long as it is consistent with UTRGV policy.</w:t>
      </w:r>
    </w:p>
    <w:p w14:paraId="759D95EF" w14:textId="53C0B936" w:rsidR="00D73E94" w:rsidRDefault="00D73E94" w:rsidP="00D73E94">
      <w:pPr>
        <w:spacing w:before="0" w:after="0" w:line="240" w:lineRule="auto"/>
        <w:rPr>
          <w:rFonts w:cstheme="minorHAnsi"/>
          <w:sz w:val="22"/>
          <w:szCs w:val="22"/>
        </w:rPr>
      </w:pPr>
      <w:r w:rsidRPr="004419AF">
        <w:rPr>
          <w:rFonts w:cstheme="minorHAnsi"/>
          <w:sz w:val="22"/>
          <w:szCs w:val="22"/>
        </w:rPr>
        <w:t xml:space="preserve">Students are expected to attend all scheduled classes and may be dropped from the course for excessive absences. </w:t>
      </w:r>
      <w:r w:rsidRPr="004419AF">
        <w:rPr>
          <w:rFonts w:cstheme="minorHAnsi"/>
          <w:i/>
          <w:sz w:val="22"/>
          <w:szCs w:val="22"/>
        </w:rPr>
        <w:t xml:space="preserve"> </w:t>
      </w:r>
      <w:r w:rsidRPr="004419AF">
        <w:rPr>
          <w:rFonts w:cstheme="minorHAnsi"/>
          <w:sz w:val="22"/>
          <w:szCs w:val="22"/>
        </w:rPr>
        <w:t xml:space="preserve">UTRGV’s attendance policy excuses students from attending class if they are participating in officially sponsored university activities, such as athletics; </w:t>
      </w:r>
      <w:r>
        <w:rPr>
          <w:rFonts w:cstheme="minorHAnsi"/>
          <w:sz w:val="22"/>
          <w:szCs w:val="22"/>
        </w:rPr>
        <w:t xml:space="preserve">have been provided such an accommodation by </w:t>
      </w:r>
      <w:r w:rsidR="00CC2BF1">
        <w:rPr>
          <w:rFonts w:cstheme="minorHAnsi"/>
          <w:sz w:val="22"/>
          <w:szCs w:val="22"/>
        </w:rPr>
        <w:t>Student Accessibility Services (</w:t>
      </w:r>
      <w:r>
        <w:rPr>
          <w:rFonts w:cstheme="minorHAnsi"/>
          <w:sz w:val="22"/>
          <w:szCs w:val="22"/>
        </w:rPr>
        <w:t>SAS</w:t>
      </w:r>
      <w:r w:rsidR="00CC2BF1">
        <w:rPr>
          <w:rFonts w:cstheme="minorHAnsi"/>
          <w:sz w:val="22"/>
          <w:szCs w:val="22"/>
        </w:rPr>
        <w:t>)</w:t>
      </w:r>
      <w:r>
        <w:rPr>
          <w:rFonts w:cstheme="minorHAnsi"/>
          <w:sz w:val="22"/>
          <w:szCs w:val="22"/>
        </w:rPr>
        <w:t xml:space="preserve">; </w:t>
      </w:r>
      <w:r w:rsidRPr="004419AF">
        <w:rPr>
          <w:rFonts w:cstheme="minorHAnsi"/>
          <w:sz w:val="22"/>
          <w:szCs w:val="22"/>
        </w:rPr>
        <w:t xml:space="preserve">for observance of religious holy days; or for military service. 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1B4D048A"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r w:rsidRPr="00154E46">
        <w:rPr>
          <w:rStyle w:val="Heading1Char"/>
        </w:rPr>
        <w:t>AbSENCE/SICK POLICY:</w:t>
      </w:r>
      <w:r w:rsidRPr="004419AF">
        <w:rPr>
          <w:rFonts w:cstheme="minorHAnsi"/>
          <w:b/>
          <w:caps/>
          <w:sz w:val="22"/>
          <w:szCs w:val="22"/>
        </w:rPr>
        <w:t xml:space="preserve"> </w:t>
      </w:r>
      <w:r w:rsidRPr="009A6F2A">
        <w:rPr>
          <w:rFonts w:eastAsia="Calibri" w:cstheme="minorHAnsi"/>
          <w:b/>
          <w:bCs/>
          <w:color w:val="525252" w:themeColor="accent3" w:themeShade="80"/>
          <w:sz w:val="22"/>
          <w:szCs w:val="22"/>
        </w:rPr>
        <w:t>See recording of instruction option below or identify other means students can participate if unable to attend class at the designated time.</w:t>
      </w:r>
    </w:p>
    <w:p w14:paraId="74B3D77B"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p>
    <w:p w14:paraId="4D66DDA4" w14:textId="35A17470" w:rsidR="00D73E94" w:rsidRDefault="00D73E94" w:rsidP="00D73E94">
      <w:pPr>
        <w:spacing w:before="0" w:after="0" w:line="240" w:lineRule="auto"/>
        <w:rPr>
          <w:rFonts w:cstheme="minorHAnsi"/>
          <w:sz w:val="22"/>
          <w:szCs w:val="22"/>
        </w:rPr>
      </w:pPr>
      <w:r>
        <w:rPr>
          <w:rFonts w:cstheme="minorHAnsi"/>
          <w:sz w:val="22"/>
          <w:szCs w:val="22"/>
        </w:rPr>
        <w:t xml:space="preserve">When setting your attendance </w:t>
      </w:r>
      <w:r w:rsidRPr="00CA5734">
        <w:rPr>
          <w:rFonts w:cstheme="minorHAnsi"/>
          <w:sz w:val="22"/>
          <w:szCs w:val="22"/>
        </w:rPr>
        <w:t xml:space="preserve">policy for the </w:t>
      </w:r>
      <w:r w:rsidR="00142909">
        <w:rPr>
          <w:rFonts w:cstheme="minorHAnsi"/>
          <w:sz w:val="22"/>
          <w:szCs w:val="22"/>
        </w:rPr>
        <w:t>spring</w:t>
      </w:r>
      <w:r w:rsidRPr="00CA5734">
        <w:rPr>
          <w:rFonts w:cstheme="minorHAnsi"/>
          <w:sz w:val="22"/>
          <w:szCs w:val="22"/>
        </w:rPr>
        <w:t xml:space="preserve"> semester</w:t>
      </w:r>
      <w:r w:rsidR="00777B21">
        <w:rPr>
          <w:rFonts w:cstheme="minorHAnsi"/>
          <w:sz w:val="22"/>
          <w:szCs w:val="22"/>
        </w:rPr>
        <w:t>,</w:t>
      </w:r>
      <w:r w:rsidRPr="00CA5734">
        <w:rPr>
          <w:rFonts w:cstheme="minorHAnsi"/>
          <w:sz w:val="22"/>
          <w:szCs w:val="22"/>
        </w:rPr>
        <w:t xml:space="preserve"> </w:t>
      </w:r>
      <w:r>
        <w:rPr>
          <w:rFonts w:cstheme="minorHAnsi"/>
          <w:sz w:val="22"/>
          <w:szCs w:val="22"/>
        </w:rPr>
        <w:t xml:space="preserve">please consider </w:t>
      </w:r>
      <w:r w:rsidRPr="00CA5734">
        <w:rPr>
          <w:rFonts w:cstheme="minorHAnsi"/>
          <w:sz w:val="22"/>
          <w:szCs w:val="22"/>
        </w:rPr>
        <w:t>COVID</w:t>
      </w:r>
      <w:r>
        <w:rPr>
          <w:rFonts w:cstheme="minorHAnsi"/>
          <w:sz w:val="22"/>
          <w:szCs w:val="22"/>
        </w:rPr>
        <w:t>-19</w:t>
      </w:r>
      <w:r w:rsidRPr="00CA5734">
        <w:rPr>
          <w:rFonts w:cstheme="minorHAnsi"/>
          <w:sz w:val="22"/>
          <w:szCs w:val="22"/>
        </w:rPr>
        <w:t>-related extenuating circumstances</w:t>
      </w:r>
      <w:r w:rsidR="0075632C">
        <w:rPr>
          <w:rFonts w:cstheme="minorHAnsi"/>
          <w:sz w:val="22"/>
          <w:szCs w:val="22"/>
        </w:rPr>
        <w:t>. For instance, you may encounter</w:t>
      </w:r>
      <w:r w:rsidRPr="00CA5734">
        <w:rPr>
          <w:rFonts w:cstheme="minorHAnsi"/>
          <w:sz w:val="22"/>
          <w:szCs w:val="22"/>
        </w:rPr>
        <w:t xml:space="preserve"> students </w:t>
      </w:r>
      <w:r>
        <w:rPr>
          <w:rFonts w:cstheme="minorHAnsi"/>
          <w:sz w:val="22"/>
          <w:szCs w:val="22"/>
        </w:rPr>
        <w:t xml:space="preserve">who cannot attend class at the scheduled time of a face-to-face, hybrid or synchronous course because </w:t>
      </w:r>
      <w:r w:rsidRPr="00CA5734">
        <w:rPr>
          <w:rFonts w:cstheme="minorHAnsi"/>
          <w:sz w:val="22"/>
          <w:szCs w:val="22"/>
        </w:rPr>
        <w:t>they answer “Yes” to any of the COVID screening questions</w:t>
      </w:r>
      <w:r>
        <w:rPr>
          <w:rFonts w:cstheme="minorHAnsi"/>
          <w:sz w:val="22"/>
          <w:szCs w:val="22"/>
        </w:rPr>
        <w:t>,</w:t>
      </w:r>
      <w:r w:rsidRPr="00CA5734">
        <w:rPr>
          <w:rFonts w:cstheme="minorHAnsi"/>
          <w:sz w:val="22"/>
          <w:szCs w:val="22"/>
        </w:rPr>
        <w:t xml:space="preserve"> </w:t>
      </w:r>
      <w:r>
        <w:rPr>
          <w:rFonts w:cstheme="minorHAnsi"/>
          <w:sz w:val="22"/>
          <w:szCs w:val="22"/>
        </w:rPr>
        <w:t>they</w:t>
      </w:r>
      <w:r w:rsidRPr="00CA5734">
        <w:rPr>
          <w:rFonts w:cstheme="minorHAnsi"/>
          <w:sz w:val="22"/>
          <w:szCs w:val="22"/>
        </w:rPr>
        <w:t xml:space="preserve"> need to self-</w:t>
      </w:r>
      <w:r>
        <w:rPr>
          <w:rFonts w:cstheme="minorHAnsi"/>
          <w:sz w:val="22"/>
          <w:szCs w:val="22"/>
        </w:rPr>
        <w:t>isolate</w:t>
      </w:r>
      <w:r w:rsidRPr="00CA5734">
        <w:rPr>
          <w:rFonts w:cstheme="minorHAnsi"/>
          <w:sz w:val="22"/>
          <w:szCs w:val="22"/>
        </w:rPr>
        <w:t xml:space="preserve"> </w:t>
      </w:r>
      <w:r>
        <w:rPr>
          <w:rFonts w:cstheme="minorHAnsi"/>
          <w:sz w:val="22"/>
          <w:szCs w:val="22"/>
        </w:rPr>
        <w:t>because of exposure, or they become sick with COVID</w:t>
      </w:r>
      <w:r w:rsidR="00F55589">
        <w:rPr>
          <w:rFonts w:cstheme="minorHAnsi"/>
          <w:sz w:val="22"/>
          <w:szCs w:val="22"/>
        </w:rPr>
        <w:t xml:space="preserve"> and are unable to complete assignments or exams by the original due date</w:t>
      </w:r>
      <w:r w:rsidRPr="00CA5734">
        <w:rPr>
          <w:rFonts w:cstheme="minorHAnsi"/>
          <w:sz w:val="22"/>
          <w:szCs w:val="22"/>
        </w:rPr>
        <w:t xml:space="preserve">. </w:t>
      </w:r>
      <w:r w:rsidR="00AF165A">
        <w:rPr>
          <w:rFonts w:cstheme="minorHAnsi"/>
          <w:sz w:val="22"/>
          <w:szCs w:val="22"/>
        </w:rPr>
        <w:t>It will be important to consider ho</w:t>
      </w:r>
      <w:r w:rsidR="00942EB9">
        <w:rPr>
          <w:rFonts w:cstheme="minorHAnsi"/>
          <w:sz w:val="22"/>
          <w:szCs w:val="22"/>
        </w:rPr>
        <w:t xml:space="preserve">w you will accommodate students in these </w:t>
      </w:r>
      <w:r w:rsidR="00F04D7C">
        <w:rPr>
          <w:rFonts w:cstheme="minorHAnsi"/>
          <w:sz w:val="22"/>
          <w:szCs w:val="22"/>
        </w:rPr>
        <w:t xml:space="preserve">and similar </w:t>
      </w:r>
      <w:r w:rsidR="00942EB9">
        <w:rPr>
          <w:rFonts w:cstheme="minorHAnsi"/>
          <w:sz w:val="22"/>
          <w:szCs w:val="22"/>
        </w:rPr>
        <w:t xml:space="preserve">situations and share your approach with students in the syllabus. </w:t>
      </w:r>
      <w:r w:rsidR="005C129B">
        <w:rPr>
          <w:rFonts w:cstheme="minorHAnsi"/>
          <w:sz w:val="22"/>
          <w:szCs w:val="22"/>
        </w:rPr>
        <w:t xml:space="preserve">Based on the student reporting protocol (to be shared separately), the student will be able to provide you documentation from the UTRGV </w:t>
      </w:r>
      <w:r w:rsidR="005C129B">
        <w:rPr>
          <w:rFonts w:eastAsia="Calibri" w:cstheme="minorHAnsi"/>
          <w:sz w:val="22"/>
          <w:szCs w:val="22"/>
        </w:rPr>
        <w:t xml:space="preserve">COVID-19 response team. </w:t>
      </w:r>
    </w:p>
    <w:p w14:paraId="7E51A9D3" w14:textId="77777777" w:rsidR="00D73E94" w:rsidRDefault="00D73E94" w:rsidP="00D73E94">
      <w:pPr>
        <w:spacing w:before="0" w:after="0" w:line="240" w:lineRule="auto"/>
        <w:rPr>
          <w:rFonts w:cstheme="minorHAnsi"/>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Pr>
          <w:rFonts w:cstheme="minorHAnsi"/>
          <w:sz w:val="22"/>
          <w:szCs w:val="22"/>
        </w:rPr>
        <w:t>Additionally, if work can be made up, w</w:t>
      </w:r>
      <w:r w:rsidR="00D73E94" w:rsidRPr="00CA5734">
        <w:rPr>
          <w:rFonts w:cstheme="minorHAnsi"/>
          <w:sz w:val="22"/>
          <w:szCs w:val="22"/>
        </w:rPr>
        <w:t xml:space="preserve">hat mechanisms have you set up to help students keep up with coursework in the event they have to miss class? Will you have recordings of all class meetings available? </w:t>
      </w:r>
      <w:r w:rsidR="00D73E94">
        <w:rPr>
          <w:rFonts w:cstheme="minorHAnsi"/>
          <w:sz w:val="22"/>
          <w:szCs w:val="22"/>
        </w:rPr>
        <w:t>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8A7B6E" w:rsidRDefault="00DB7A43" w:rsidP="00DB7A43">
      <w:pPr>
        <w:ind w:right="720"/>
        <w:rPr>
          <w:rFonts w:cstheme="minorHAnsi"/>
          <w:sz w:val="22"/>
          <w:szCs w:val="22"/>
        </w:rPr>
      </w:pPr>
      <w:r w:rsidRPr="008A7B6E">
        <w:rPr>
          <w:rFonts w:cstheme="minorHAnsi"/>
          <w:sz w:val="22"/>
          <w:szCs w:val="22"/>
        </w:rPr>
        <w:t xml:space="preserve">Should you elect to record your instruction, sample syllabus language is included here: </w:t>
      </w:r>
    </w:p>
    <w:p w14:paraId="4E9CFC96" w14:textId="4EFBF790" w:rsidR="00DB7A43" w:rsidRPr="008A7B6E" w:rsidRDefault="00DB7A43" w:rsidP="00DB7A43">
      <w:pPr>
        <w:ind w:left="720" w:right="720"/>
        <w:rPr>
          <w:rFonts w:cstheme="minorHAnsi"/>
          <w:i/>
          <w:iCs/>
          <w:sz w:val="22"/>
          <w:szCs w:val="22"/>
        </w:rPr>
      </w:pPr>
      <w:r w:rsidRPr="008A7B6E">
        <w:rPr>
          <w:rFonts w:cstheme="minorHAnsi"/>
          <w:i/>
          <w:iCs/>
          <w:sz w:val="22"/>
          <w:szCs w:val="22"/>
        </w:rPr>
        <w:t xml:space="preserve">The use of recordings will enable you to have access to class lectures, group discussions, etc. in the event you have to miss a synchronous or face to face class meeting due to illness or other extenuating circumstance. Our use of such technology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8A7B6E">
        <w:rPr>
          <w:rFonts w:cstheme="minorHAnsi"/>
          <w:b/>
          <w:bCs/>
          <w:i/>
          <w:iCs/>
          <w:sz w:val="22"/>
          <w:szCs w:val="22"/>
        </w:rPr>
        <w:lastRenderedPageBreak/>
        <w:t>You may not share recordings outside of this course.</w:t>
      </w:r>
      <w:r w:rsidRPr="008A7B6E">
        <w:rPr>
          <w:rFonts w:cstheme="minorHAnsi"/>
          <w:i/>
          <w:iCs/>
          <w:sz w:val="22"/>
          <w:szCs w:val="22"/>
        </w:rPr>
        <w:t xml:space="preserv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9A6F2A">
        <w:rPr>
          <w:rFonts w:eastAsia="Calibri" w:cstheme="minorHAnsi"/>
          <w:color w:val="525252" w:themeColor="accent3" w:themeShade="80"/>
          <w:sz w:val="22"/>
          <w:szCs w:val="22"/>
        </w:rPr>
        <w:t xml:space="preserve">Recommended on all syllabi. </w:t>
      </w:r>
    </w:p>
    <w:p w14:paraId="49427B23" w14:textId="2BE8866A" w:rsidR="004419AF" w:rsidRPr="00C756B8" w:rsidRDefault="00643687" w:rsidP="00C756B8">
      <w:r>
        <w:t xml:space="preserve">Members of the UTRGV community uphold the </w:t>
      </w:r>
      <w:hyperlink r:id="rId25"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6" w:history="1">
        <w:r>
          <w:rPr>
            <w:rStyle w:val="Hyperlink"/>
            <w:b/>
            <w:bCs/>
          </w:rPr>
          <w:t>Vaqueros Report It</w:t>
        </w:r>
      </w:hyperlink>
      <w:r>
        <w:rPr>
          <w:b/>
          <w:bCs/>
        </w:rPr>
        <w:t>.</w:t>
      </w:r>
    </w:p>
    <w:p w14:paraId="63E45659" w14:textId="77777777" w:rsidR="004419AF" w:rsidRPr="004419AF" w:rsidRDefault="004419AF" w:rsidP="00BA3FFB">
      <w:pPr>
        <w:pStyle w:val="Heading1"/>
      </w:pPr>
      <w:r w:rsidRPr="004419AF">
        <w:t>UTRGV Policy Statements</w:t>
      </w:r>
    </w:p>
    <w:p w14:paraId="49D17AD6" w14:textId="77777777" w:rsidR="004419AF" w:rsidRPr="004419AF" w:rsidRDefault="004419AF" w:rsidP="004419AF">
      <w:pPr>
        <w:spacing w:before="0" w:after="0" w:line="240" w:lineRule="auto"/>
        <w:rPr>
          <w:rFonts w:cstheme="minorHAnsi"/>
          <w:color w:val="F05023"/>
          <w:sz w:val="22"/>
          <w:szCs w:val="22"/>
        </w:rPr>
      </w:pPr>
      <w:r w:rsidRPr="009A6F2A">
        <w:rPr>
          <w:rFonts w:eastAsia="Calibri" w:cstheme="minorHAnsi"/>
          <w:color w:val="DB350F"/>
          <w:sz w:val="22"/>
          <w:szCs w:val="22"/>
        </w:rPr>
        <w:t>The UTRGV disability accommodation, mandatory course evaluation statement and sexual misconduct statement are required on all syllabi.</w:t>
      </w:r>
      <w:r w:rsidRPr="004419AF">
        <w:rPr>
          <w:rFonts w:cstheme="minorHAnsi"/>
          <w:color w:val="F05023"/>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008405EF" w14:textId="77777777" w:rsidR="004419AF" w:rsidRPr="004419AF" w:rsidRDefault="004419AF" w:rsidP="004419AF">
      <w:pPr>
        <w:spacing w:before="0" w:after="0" w:line="240" w:lineRule="auto"/>
        <w:rPr>
          <w:rFonts w:eastAsia="Calibri" w:cstheme="minorHAnsi"/>
          <w:b/>
          <w:bCs/>
          <w:sz w:val="22"/>
          <w:szCs w:val="22"/>
        </w:rPr>
      </w:pPr>
    </w:p>
    <w:p w14:paraId="7BED1100" w14:textId="77777777" w:rsidR="004419AF" w:rsidRPr="004419AF" w:rsidRDefault="004419AF" w:rsidP="00BA3FFB">
      <w:pPr>
        <w:pStyle w:val="Heading2"/>
      </w:pPr>
      <w:r w:rsidRPr="004419AF">
        <w:t>Other Course Information</w:t>
      </w:r>
    </w:p>
    <w:p w14:paraId="276E615A" w14:textId="238E23C3" w:rsidR="004419AF" w:rsidRDefault="004419AF" w:rsidP="004419AF">
      <w:pPr>
        <w:spacing w:before="0" w:after="0" w:line="240" w:lineRule="auto"/>
        <w:rPr>
          <w:rFonts w:cstheme="minorHAnsi"/>
          <w:sz w:val="22"/>
          <w:szCs w:val="22"/>
        </w:rPr>
      </w:pPr>
      <w:r w:rsidRPr="004419AF">
        <w:rPr>
          <w:rFonts w:cstheme="minorHAnsi"/>
          <w:sz w:val="22"/>
          <w:szCs w:val="22"/>
        </w:rPr>
        <w:t>In this section, please provide any other information that is pertinent to your course and your expectations for students.</w:t>
      </w:r>
    </w:p>
    <w:p w14:paraId="4DB31C96" w14:textId="77777777" w:rsidR="00CC2BF1" w:rsidRPr="004419AF" w:rsidRDefault="00CC2BF1" w:rsidP="004419AF">
      <w:pPr>
        <w:spacing w:before="0" w:after="0" w:line="240" w:lineRule="auto"/>
        <w:rPr>
          <w:rFonts w:cstheme="minorHAnsi"/>
          <w:sz w:val="22"/>
          <w:szCs w:val="22"/>
        </w:rPr>
      </w:pP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9A6F2A">
        <w:rPr>
          <w:rFonts w:eastAsia="Calibri" w:cstheme="minorHAnsi"/>
          <w:color w:val="DB350F"/>
          <w:sz w:val="22"/>
          <w:szCs w:val="22"/>
        </w:rPr>
        <w:t>Required on all syllabi. Do not modify.</w:t>
      </w:r>
    </w:p>
    <w:p w14:paraId="1CA16B33" w14:textId="77777777" w:rsidR="0000638C" w:rsidRPr="008A7B6E" w:rsidRDefault="0000638C" w:rsidP="0000638C">
      <w:pPr>
        <w:rPr>
          <w:sz w:val="22"/>
          <w:szCs w:val="22"/>
        </w:rPr>
      </w:pPr>
      <w:bookmarkStart w:id="1" w:name="_Hlk14087121"/>
      <w:r w:rsidRPr="008A7B6E">
        <w:rPr>
          <w:sz w:val="22"/>
          <w:szCs w:val="22"/>
        </w:rPr>
        <w:t xml:space="preserve">Students with a documented disability (physical, psychological, learning, or other disability which affects academic performance) who would like to receive reasonable academic accommodations should contact </w:t>
      </w:r>
      <w:r w:rsidRPr="008A7B6E">
        <w:rPr>
          <w:b/>
          <w:bCs/>
          <w:sz w:val="22"/>
          <w:szCs w:val="22"/>
        </w:rPr>
        <w:t xml:space="preserve">Student Accessibility Services (SAS) </w:t>
      </w:r>
      <w:r w:rsidRPr="008A7B6E">
        <w:rPr>
          <w:sz w:val="22"/>
          <w:szCs w:val="22"/>
        </w:rPr>
        <w:t xml:space="preserve">for additional information.  In order for accommodation requests to be considered for approval, the student must apply using the </w:t>
      </w:r>
      <w:r w:rsidRPr="008A7B6E">
        <w:rPr>
          <w:i/>
          <w:iCs/>
          <w:sz w:val="22"/>
          <w:szCs w:val="22"/>
        </w:rPr>
        <w:t>mySAS</w:t>
      </w:r>
      <w:r w:rsidRPr="008A7B6E">
        <w:rPr>
          <w:sz w:val="22"/>
          <w:szCs w:val="22"/>
        </w:rPr>
        <w:t xml:space="preserve"> portal located at </w:t>
      </w:r>
      <w:hyperlink r:id="rId27" w:history="1">
        <w:r w:rsidRPr="008A7B6E">
          <w:rPr>
            <w:rStyle w:val="Hyperlink"/>
            <w:sz w:val="22"/>
            <w:szCs w:val="22"/>
          </w:rPr>
          <w:t>www.utrgv.edu/mySAS</w:t>
        </w:r>
      </w:hyperlink>
      <w:r w:rsidRPr="008A7B6E">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00A426E8" w14:textId="080ABC14" w:rsidR="0000638C" w:rsidRPr="008A7B6E" w:rsidRDefault="0000638C" w:rsidP="0000638C">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w:t>
      </w:r>
      <w:r w:rsidRPr="00613AA1">
        <w:rPr>
          <w:sz w:val="22"/>
          <w:szCs w:val="22"/>
        </w:rPr>
        <w:t xml:space="preserve">period) </w:t>
      </w:r>
      <w:r w:rsidR="005F49D5" w:rsidRPr="00613AA1">
        <w:rPr>
          <w:sz w:val="22"/>
          <w:szCs w:val="22"/>
        </w:rPr>
        <w:t xml:space="preserve"> </w:t>
      </w:r>
      <w:r w:rsidR="00151FE8" w:rsidRPr="00613AA1">
        <w:rPr>
          <w:sz w:val="22"/>
          <w:szCs w:val="22"/>
        </w:rPr>
        <w:t xml:space="preserve">should </w:t>
      </w:r>
      <w:r w:rsidR="005F49D5" w:rsidRPr="00613AA1">
        <w:rPr>
          <w:sz w:val="22"/>
          <w:szCs w:val="22"/>
        </w:rPr>
        <w:t>submit</w:t>
      </w:r>
      <w:r w:rsidR="005F49D5" w:rsidRPr="00154E46">
        <w:rPr>
          <w:sz w:val="22"/>
          <w:szCs w:val="22"/>
        </w:rPr>
        <w:t xml:space="preserve"> </w:t>
      </w:r>
      <w:r w:rsidR="00151FE8" w:rsidRPr="00154E46">
        <w:rPr>
          <w:sz w:val="22"/>
          <w:szCs w:val="22"/>
        </w:rPr>
        <w:t>the</w:t>
      </w:r>
      <w:r w:rsidR="005F49D5" w:rsidRPr="00154E46">
        <w:rPr>
          <w:sz w:val="22"/>
          <w:szCs w:val="22"/>
        </w:rPr>
        <w:t xml:space="preserve"> request using the form found at </w:t>
      </w:r>
      <w:hyperlink r:id="rId28" w:history="1">
        <w:r w:rsidR="005F49D5" w:rsidRPr="00154E46">
          <w:rPr>
            <w:rStyle w:val="Hyperlink"/>
            <w:sz w:val="22"/>
            <w:szCs w:val="22"/>
          </w:rPr>
          <w:t>https://www.utrgv.edu/pregnancy</w:t>
        </w:r>
      </w:hyperlink>
      <w:r w:rsidR="005F49D5" w:rsidRPr="00154E46">
        <w:rPr>
          <w:sz w:val="22"/>
          <w:szCs w:val="22"/>
        </w:rPr>
        <w:t xml:space="preserve"> for review by </w:t>
      </w:r>
      <w:r w:rsidR="005F49D5" w:rsidRPr="00154E46">
        <w:rPr>
          <w:b/>
          <w:bCs/>
          <w:sz w:val="22"/>
          <w:szCs w:val="22"/>
        </w:rPr>
        <w:t>Student Accessibility Services.</w:t>
      </w:r>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29"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373C42B2"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30"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1DD779C3" w14:textId="77777777" w:rsidR="00613AA1" w:rsidRDefault="00613AA1" w:rsidP="00334891">
      <w:pPr>
        <w:spacing w:before="0" w:after="0" w:line="240" w:lineRule="auto"/>
        <w:rPr>
          <w:rFonts w:eastAsia="Calibri" w:cstheme="minorHAnsi"/>
          <w:sz w:val="22"/>
          <w:szCs w:val="22"/>
        </w:rPr>
      </w:pPr>
    </w:p>
    <w:p w14:paraId="45B94EA5" w14:textId="52357F70"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9A6F2A">
        <w:rPr>
          <w:rFonts w:eastAsia="Calibri" w:cstheme="minorHAnsi"/>
          <w:color w:val="DB350F"/>
          <w:sz w:val="22"/>
          <w:szCs w:val="22"/>
        </w:rPr>
        <w:t>Required on all syllabi. Do not modify.</w:t>
      </w:r>
    </w:p>
    <w:p w14:paraId="710AE761" w14:textId="1A4684BF" w:rsidR="0061108F" w:rsidRPr="004419AF" w:rsidRDefault="002E2DED" w:rsidP="00334891">
      <w:pPr>
        <w:spacing w:before="0" w:after="0" w:line="240" w:lineRule="auto"/>
        <w:rPr>
          <w:rFonts w:cstheme="minorHAnsi"/>
          <w:sz w:val="22"/>
          <w:szCs w:val="22"/>
        </w:rPr>
      </w:pPr>
      <w:r w:rsidRPr="004419AF">
        <w:rPr>
          <w:rFonts w:cstheme="minorHAnsi"/>
          <w:sz w:val="22"/>
          <w:szCs w:val="22"/>
        </w:rPr>
        <w:t>Students are required to complete an ONLINE evaluation of this course, a</w:t>
      </w:r>
      <w:r w:rsidR="00165DB0" w:rsidRPr="004419AF">
        <w:rPr>
          <w:rFonts w:cstheme="minorHAnsi"/>
          <w:sz w:val="22"/>
          <w:szCs w:val="22"/>
        </w:rPr>
        <w:t xml:space="preserve">ccessed </w:t>
      </w:r>
      <w:r w:rsidRPr="004419AF">
        <w:rPr>
          <w:rFonts w:cstheme="minorHAnsi"/>
          <w:sz w:val="22"/>
          <w:szCs w:val="22"/>
        </w:rPr>
        <w:t>through your UTRGV account (</w:t>
      </w:r>
      <w:hyperlink r:id="rId31" w:history="1">
        <w:r w:rsidRPr="004419AF">
          <w:rPr>
            <w:rStyle w:val="Hyperlink"/>
            <w:rFonts w:cstheme="minorHAnsi"/>
            <w:sz w:val="22"/>
            <w:szCs w:val="22"/>
          </w:rPr>
          <w:t>http://my.utrgv.edu</w:t>
        </w:r>
      </w:hyperlink>
      <w:r w:rsidRPr="004419AF">
        <w:rPr>
          <w:rFonts w:cstheme="minorHAnsi"/>
          <w:sz w:val="22"/>
          <w:szCs w:val="22"/>
        </w:rPr>
        <w:t xml:space="preserve">); you will be contacted through email with further instructions. </w:t>
      </w:r>
      <w:r w:rsidR="0061108F" w:rsidRPr="004419AF">
        <w:rPr>
          <w:rFonts w:cstheme="minorHAnsi"/>
          <w:sz w:val="22"/>
          <w:szCs w:val="22"/>
        </w:rPr>
        <w:t xml:space="preserve"> Students who complete their evaluations will have priority access to their grades. </w:t>
      </w:r>
      <w:r w:rsidRPr="004419AF">
        <w:rPr>
          <w:rFonts w:cstheme="minorHAnsi"/>
          <w:sz w:val="22"/>
          <w:szCs w:val="22"/>
        </w:rPr>
        <w:t>Online evaluations will be available</w:t>
      </w:r>
      <w:r w:rsidR="00416C9C" w:rsidRPr="004419AF">
        <w:rPr>
          <w:rFonts w:cstheme="minorHAnsi"/>
          <w:sz w:val="22"/>
          <w:szCs w:val="22"/>
        </w:rPr>
        <w:t xml:space="preserve"> on or about</w:t>
      </w:r>
      <w:r w:rsidR="0061108F" w:rsidRPr="004419AF">
        <w:rPr>
          <w:rFonts w:cstheme="minorHAnsi"/>
          <w:sz w:val="22"/>
          <w:szCs w:val="22"/>
        </w:rPr>
        <w:t>:</w:t>
      </w:r>
    </w:p>
    <w:p w14:paraId="4A5B7377" w14:textId="77777777" w:rsidR="00100F35" w:rsidRPr="004419AF" w:rsidRDefault="00100F35" w:rsidP="00334891">
      <w:pPr>
        <w:spacing w:before="0" w:after="0" w:line="240" w:lineRule="auto"/>
        <w:rPr>
          <w:rFonts w:cstheme="minorHAnsi"/>
          <w:sz w:val="22"/>
          <w:szCs w:val="22"/>
        </w:rPr>
      </w:pPr>
    </w:p>
    <w:p w14:paraId="385BC5C3" w14:textId="224E930A" w:rsidR="00416C9C" w:rsidRPr="004419AF" w:rsidRDefault="00936158" w:rsidP="00334891">
      <w:pPr>
        <w:spacing w:before="0" w:after="0" w:line="240" w:lineRule="auto"/>
        <w:rPr>
          <w:rFonts w:cstheme="minorHAnsi"/>
          <w:sz w:val="22"/>
          <w:szCs w:val="22"/>
        </w:rPr>
      </w:pPr>
      <w:r w:rsidRPr="004419AF">
        <w:rPr>
          <w:rFonts w:cstheme="minorHAnsi"/>
          <w:sz w:val="22"/>
          <w:szCs w:val="22"/>
        </w:rPr>
        <w:t xml:space="preserve">Module </w:t>
      </w:r>
      <w:r w:rsidR="001046E3" w:rsidRPr="004419AF">
        <w:rPr>
          <w:rFonts w:cstheme="minorHAnsi"/>
          <w:sz w:val="22"/>
          <w:szCs w:val="22"/>
        </w:rPr>
        <w:t>1</w:t>
      </w:r>
      <w:r w:rsidR="00416C9C" w:rsidRPr="004419AF">
        <w:rPr>
          <w:rFonts w:cstheme="minorHAnsi"/>
          <w:sz w:val="22"/>
          <w:szCs w:val="22"/>
        </w:rPr>
        <w:tab/>
      </w:r>
      <w:r w:rsidR="00416C9C" w:rsidRPr="004419AF">
        <w:rPr>
          <w:rFonts w:cstheme="minorHAnsi"/>
          <w:sz w:val="22"/>
          <w:szCs w:val="22"/>
        </w:rPr>
        <w:tab/>
      </w:r>
      <w:r w:rsidR="00142909">
        <w:rPr>
          <w:rFonts w:cstheme="minorHAnsi"/>
          <w:sz w:val="22"/>
          <w:szCs w:val="22"/>
        </w:rPr>
        <w:t>February 24 – March 2, 2021</w:t>
      </w:r>
    </w:p>
    <w:p w14:paraId="2ED9EF4B" w14:textId="63B321FC" w:rsidR="00091931" w:rsidRPr="004419AF" w:rsidRDefault="001046E3" w:rsidP="00334891">
      <w:pPr>
        <w:spacing w:before="0" w:after="0" w:line="240" w:lineRule="auto"/>
        <w:rPr>
          <w:rFonts w:cstheme="minorHAnsi"/>
          <w:sz w:val="22"/>
          <w:szCs w:val="22"/>
        </w:rPr>
      </w:pPr>
      <w:r w:rsidRPr="004419AF">
        <w:rPr>
          <w:rFonts w:cstheme="minorHAnsi"/>
          <w:sz w:val="22"/>
          <w:szCs w:val="22"/>
        </w:rPr>
        <w:t>Module 2</w:t>
      </w:r>
      <w:r w:rsidR="00091931" w:rsidRPr="004419AF">
        <w:rPr>
          <w:rFonts w:cstheme="minorHAnsi"/>
          <w:sz w:val="22"/>
          <w:szCs w:val="22"/>
        </w:rPr>
        <w:tab/>
      </w:r>
      <w:r w:rsidR="00091931" w:rsidRPr="004419AF">
        <w:rPr>
          <w:rFonts w:cstheme="minorHAnsi"/>
          <w:sz w:val="22"/>
          <w:szCs w:val="22"/>
        </w:rPr>
        <w:tab/>
      </w:r>
      <w:r w:rsidR="00142909">
        <w:rPr>
          <w:rFonts w:cstheme="minorHAnsi"/>
          <w:sz w:val="22"/>
          <w:szCs w:val="22"/>
        </w:rPr>
        <w:t>April 21-27, 2021</w:t>
      </w:r>
    </w:p>
    <w:p w14:paraId="3918FD10" w14:textId="28721B3F" w:rsidR="001046E3" w:rsidRPr="004419AF" w:rsidRDefault="001046E3" w:rsidP="00334891">
      <w:pPr>
        <w:spacing w:before="0" w:after="0" w:line="240" w:lineRule="auto"/>
        <w:rPr>
          <w:rFonts w:cstheme="minorHAnsi"/>
          <w:sz w:val="22"/>
          <w:szCs w:val="22"/>
        </w:rPr>
      </w:pPr>
      <w:r w:rsidRPr="004419AF">
        <w:rPr>
          <w:rFonts w:cstheme="minorHAnsi"/>
          <w:sz w:val="22"/>
          <w:szCs w:val="22"/>
        </w:rPr>
        <w:t xml:space="preserve">Full </w:t>
      </w:r>
      <w:r w:rsidR="00142909">
        <w:rPr>
          <w:rFonts w:cstheme="minorHAnsi"/>
          <w:sz w:val="22"/>
          <w:szCs w:val="22"/>
        </w:rPr>
        <w:t>Spring</w:t>
      </w:r>
      <w:r w:rsidRPr="004419AF">
        <w:rPr>
          <w:rFonts w:cstheme="minorHAnsi"/>
          <w:sz w:val="22"/>
          <w:szCs w:val="22"/>
        </w:rPr>
        <w:t xml:space="preserve"> Semester</w:t>
      </w:r>
      <w:r w:rsidRPr="004419AF">
        <w:rPr>
          <w:rFonts w:cstheme="minorHAnsi"/>
          <w:sz w:val="22"/>
          <w:szCs w:val="22"/>
        </w:rPr>
        <w:tab/>
      </w:r>
      <w:r w:rsidR="00142909">
        <w:rPr>
          <w:rFonts w:cstheme="minorHAnsi"/>
          <w:sz w:val="22"/>
          <w:szCs w:val="22"/>
        </w:rPr>
        <w:t>April 9-28, 2021</w:t>
      </w:r>
    </w:p>
    <w:bookmarkEnd w:id="1"/>
    <w:p w14:paraId="2FE58690" w14:textId="77777777" w:rsidR="00416C9C" w:rsidRPr="004419AF" w:rsidRDefault="00416C9C" w:rsidP="00334891">
      <w:pPr>
        <w:spacing w:before="0" w:after="0" w:line="240" w:lineRule="auto"/>
        <w:rPr>
          <w:rFonts w:cstheme="minorHAnsi"/>
          <w:sz w:val="22"/>
          <w:szCs w:val="22"/>
        </w:rPr>
      </w:pPr>
    </w:p>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Pr="009A6F2A">
        <w:rPr>
          <w:rFonts w:eastAsia="Calibri" w:cstheme="minorHAnsi"/>
          <w:color w:val="DB350F"/>
          <w:sz w:val="22"/>
          <w:szCs w:val="22"/>
        </w:rPr>
        <w:t>Required on all syllabi. Do not modify.</w:t>
      </w:r>
      <w:bookmarkEnd w:id="2"/>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2" w:history="1">
        <w:r>
          <w:rPr>
            <w:rStyle w:val="Hyperlink"/>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3" w:history="1">
        <w:r>
          <w:rPr>
            <w:rStyle w:val="Hyperlink"/>
          </w:rPr>
          <w:t>OVAVP@utrgv.edu</w:t>
        </w:r>
      </w:hyperlink>
      <w:r>
        <w:t>.</w:t>
      </w:r>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9A6F2A">
        <w:rPr>
          <w:rFonts w:eastAsia="Calibri" w:cstheme="minorHAnsi"/>
          <w:color w:val="525252" w:themeColor="accent3" w:themeShade="80"/>
          <w:sz w:val="22"/>
          <w:szCs w:val="22"/>
        </w:rPr>
        <w:t>Recommended on all syllabi; may be modified by the instructor</w:t>
      </w:r>
      <w:r w:rsidR="00DA4A47" w:rsidRPr="009A6F2A">
        <w:rPr>
          <w:rFonts w:eastAsia="Calibri" w:cstheme="minorHAnsi"/>
          <w:color w:val="525252" w:themeColor="accent3" w:themeShade="80"/>
          <w:sz w:val="22"/>
          <w:szCs w:val="22"/>
        </w:rPr>
        <w:t xml:space="preserve"> as long as it is not inconsistent with UTRGV policy</w:t>
      </w:r>
      <w:r w:rsidRPr="009A6F2A">
        <w:rPr>
          <w:rFonts w:eastAsia="Calibri" w:cstheme="minorHAnsi"/>
          <w:color w:val="525252" w:themeColor="accent3" w:themeShade="80"/>
          <w:sz w:val="22"/>
          <w:szCs w:val="22"/>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9A6F2A">
        <w:rPr>
          <w:rFonts w:asciiTheme="minorHAnsi" w:eastAsia="Calibri" w:hAnsiTheme="minorHAnsi" w:cstheme="minorHAnsi"/>
          <w:color w:val="525252" w:themeColor="accent3" w:themeShade="80"/>
          <w:sz w:val="22"/>
          <w:szCs w:val="22"/>
        </w:rPr>
        <w:t>Recommended on all syllabi.</w:t>
      </w:r>
      <w:r w:rsidRPr="004419AF">
        <w:rPr>
          <w:rFonts w:asciiTheme="minorHAnsi" w:hAnsiTheme="minorHAnsi" w:cstheme="minorHAnsi"/>
          <w:color w:val="808080" w:themeColor="background1" w:themeShade="80"/>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4"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00BA3FFB">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00BA3FFB">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0840C0" w:rsidP="003E1529">
            <w:pPr>
              <w:pStyle w:val="Default"/>
              <w:rPr>
                <w:rFonts w:asciiTheme="minorHAnsi" w:hAnsiTheme="minorHAnsi" w:cstheme="minorHAnsi"/>
                <w:sz w:val="22"/>
                <w:szCs w:val="22"/>
              </w:rPr>
            </w:pPr>
            <w:hyperlink r:id="rId35" w:history="1">
              <w:r w:rsidR="00077696" w:rsidRPr="004419AF">
                <w:rPr>
                  <w:rStyle w:val="Hyperlink"/>
                  <w:rFonts w:asciiTheme="minorHAnsi" w:hAnsiTheme="minorHAnsi" w:cstheme="minorHAnsi"/>
                  <w:sz w:val="22"/>
                  <w:szCs w:val="22"/>
                </w:rPr>
                <w:t>AcademicAdvising@utrgv.edu</w:t>
              </w:r>
            </w:hyperlink>
            <w:r w:rsidR="00077696" w:rsidRPr="004419AF">
              <w:rPr>
                <w:rFonts w:asciiTheme="minorHAnsi" w:hAnsiTheme="minorHAnsi" w:cstheme="minorHAnsi"/>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3F5BCB48"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ESWKH 101</w:t>
            </w:r>
            <w:r w:rsidR="002405D6" w:rsidRPr="004419AF">
              <w:rPr>
                <w:rFonts w:asciiTheme="minorHAnsi" w:hAnsiTheme="minorHAnsi" w:cstheme="minorHAnsi"/>
                <w:sz w:val="22"/>
                <w:szCs w:val="22"/>
              </w:rPr>
              <w:t>A</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00BA3FFB">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0840C0" w:rsidP="003E1529">
            <w:pPr>
              <w:pStyle w:val="Default"/>
              <w:rPr>
                <w:rFonts w:asciiTheme="minorHAnsi" w:hAnsiTheme="minorHAnsi" w:cstheme="minorHAnsi"/>
                <w:sz w:val="22"/>
                <w:szCs w:val="22"/>
              </w:rPr>
            </w:pPr>
            <w:hyperlink r:id="rId36" w:history="1">
              <w:r w:rsidR="00077696" w:rsidRPr="004419AF">
                <w:rPr>
                  <w:rStyle w:val="Hyperlink"/>
                  <w:rFonts w:asciiTheme="minorHAnsi" w:hAnsiTheme="minorHAnsi" w:cstheme="minorHAnsi"/>
                  <w:sz w:val="22"/>
                  <w:szCs w:val="22"/>
                </w:rPr>
                <w:t>CareerCenter@utrgv.edu</w:t>
              </w:r>
            </w:hyperlink>
            <w:r w:rsidR="00077696" w:rsidRPr="004419AF">
              <w:rPr>
                <w:rFonts w:asciiTheme="minorHAnsi" w:hAnsiTheme="minorHAnsi" w:cstheme="minorHAnsi"/>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ESSBL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00BA3FFB">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421ADC38" w14:textId="77777777" w:rsidR="008652BF" w:rsidRPr="004419AF" w:rsidRDefault="000840C0" w:rsidP="30D2F47D">
            <w:pPr>
              <w:pStyle w:val="Default"/>
              <w:rPr>
                <w:rFonts w:asciiTheme="minorHAnsi" w:hAnsiTheme="minorHAnsi" w:cstheme="minorHAnsi"/>
                <w:sz w:val="22"/>
                <w:szCs w:val="22"/>
              </w:rPr>
            </w:pPr>
            <w:hyperlink r:id="rId37" w:history="1">
              <w:r w:rsidR="00077696" w:rsidRPr="004419AF">
                <w:rPr>
                  <w:rStyle w:val="Hyperlink"/>
                  <w:rFonts w:asciiTheme="minorHAnsi" w:hAnsiTheme="minorHAnsi" w:cstheme="minorHAnsi"/>
                  <w:sz w:val="22"/>
                  <w:szCs w:val="22"/>
                </w:rPr>
                <w:t>Counseling@utrgv.edu</w:t>
              </w:r>
            </w:hyperlink>
            <w:r w:rsidR="00077696" w:rsidRPr="004419AF">
              <w:rPr>
                <w:rFonts w:asciiTheme="minorHAnsi" w:hAnsiTheme="minorHAnsi" w:cstheme="minorHAnsi"/>
                <w:sz w:val="22"/>
                <w:szCs w:val="22"/>
              </w:rPr>
              <w:t xml:space="preserve"> </w:t>
            </w:r>
          </w:p>
          <w:p w14:paraId="77B3280E" w14:textId="77777777" w:rsidR="00D766E8" w:rsidRPr="004419AF" w:rsidRDefault="00D766E8" w:rsidP="30D2F47D">
            <w:pPr>
              <w:pStyle w:val="Default"/>
              <w:rPr>
                <w:rFonts w:asciiTheme="minorHAnsi" w:hAnsiTheme="minorHAnsi" w:cstheme="minorHAnsi"/>
                <w:sz w:val="22"/>
                <w:szCs w:val="22"/>
              </w:rPr>
            </w:pPr>
          </w:p>
          <w:p w14:paraId="33A61872" w14:textId="3490E23D" w:rsidR="00D766E8" w:rsidRPr="004419AF" w:rsidRDefault="000840C0" w:rsidP="30D2F47D">
            <w:pPr>
              <w:pStyle w:val="Default"/>
              <w:rPr>
                <w:rFonts w:asciiTheme="minorHAnsi" w:hAnsiTheme="minorHAnsi" w:cstheme="minorHAnsi"/>
                <w:sz w:val="22"/>
                <w:szCs w:val="22"/>
              </w:rPr>
            </w:pPr>
            <w:hyperlink r:id="rId38" w:history="1">
              <w:r w:rsidR="00151FE8" w:rsidRPr="00860C59">
                <w:rPr>
                  <w:rStyle w:val="Hyperlink"/>
                  <w:rFonts w:asciiTheme="minorHAnsi" w:hAnsiTheme="minorHAnsi" w:cstheme="minorHAnsi"/>
                  <w:sz w:val="22"/>
                  <w:szCs w:val="22"/>
                </w:rPr>
                <w:t>M</w:t>
              </w:r>
              <w:r w:rsidR="00151FE8" w:rsidRPr="00860C59">
                <w:rPr>
                  <w:rStyle w:val="Hyperlink"/>
                  <w:rFonts w:cstheme="minorHAnsi"/>
                </w:rPr>
                <w:t>ental Health</w:t>
              </w:r>
              <w:r w:rsidR="00D852BA" w:rsidRPr="00860C59">
                <w:rPr>
                  <w:rStyle w:val="Hyperlink"/>
                  <w:rFonts w:cstheme="minorHAnsi"/>
                </w:rPr>
                <w:t xml:space="preserve"> Counseling </w:t>
              </w:r>
              <w:r w:rsidR="00D766E8" w:rsidRPr="00860C59">
                <w:rPr>
                  <w:rStyle w:val="Hyperlink"/>
                  <w:rFonts w:asciiTheme="minorHAnsi" w:hAnsiTheme="minorHAnsi" w:cstheme="minorHAnsi"/>
                  <w:sz w:val="22"/>
                  <w:szCs w:val="22"/>
                </w:rPr>
                <w:t>and Related Services List</w:t>
              </w:r>
            </w:hyperlink>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00BA3FFB">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0840C0" w:rsidP="30D2F47D">
            <w:pPr>
              <w:pStyle w:val="Default"/>
              <w:rPr>
                <w:rFonts w:asciiTheme="minorHAnsi" w:hAnsiTheme="minorHAnsi" w:cstheme="minorHAnsi"/>
                <w:sz w:val="22"/>
                <w:szCs w:val="22"/>
              </w:rPr>
            </w:pPr>
            <w:hyperlink r:id="rId39" w:history="1">
              <w:r w:rsidR="00362757" w:rsidRPr="004419AF">
                <w:rPr>
                  <w:rStyle w:val="Hyperlink"/>
                  <w:rFonts w:asciiTheme="minorHAnsi" w:hAnsiTheme="minorHAnsi" w:cstheme="minorHAnsi"/>
                  <w:sz w:val="22"/>
                  <w:szCs w:val="22"/>
                </w:rPr>
                <w:t>FoodPantry@utrgv.edu</w:t>
              </w:r>
            </w:hyperlink>
            <w:r w:rsidR="00362757" w:rsidRPr="004419AF">
              <w:rPr>
                <w:rFonts w:asciiTheme="minorHAnsi" w:hAnsiTheme="minorHAnsi" w:cstheme="minorHAnsi"/>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00BA3FFB">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0840C0" w:rsidP="003E1529">
            <w:pPr>
              <w:pStyle w:val="Default"/>
              <w:rPr>
                <w:rFonts w:asciiTheme="minorHAnsi" w:hAnsiTheme="minorHAnsi" w:cstheme="minorHAnsi"/>
                <w:sz w:val="22"/>
                <w:szCs w:val="22"/>
              </w:rPr>
            </w:pPr>
            <w:hyperlink r:id="rId40" w:history="1">
              <w:r w:rsidR="00077696" w:rsidRPr="004419AF">
                <w:rPr>
                  <w:rStyle w:val="Hyperlink"/>
                  <w:rFonts w:asciiTheme="minorHAnsi" w:hAnsiTheme="minorHAnsi" w:cstheme="minorHAnsi"/>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00BA3FFB">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0840C0" w:rsidP="003E1529">
            <w:pPr>
              <w:pStyle w:val="Default"/>
              <w:rPr>
                <w:rFonts w:asciiTheme="minorHAnsi" w:hAnsiTheme="minorHAnsi" w:cstheme="minorHAnsi"/>
                <w:sz w:val="22"/>
                <w:szCs w:val="22"/>
              </w:rPr>
            </w:pPr>
            <w:hyperlink r:id="rId41" w:history="1">
              <w:r w:rsidR="002405D6" w:rsidRPr="004419AF">
                <w:rPr>
                  <w:rStyle w:val="Hyperlink"/>
                  <w:rFonts w:asciiTheme="minorHAnsi" w:hAnsiTheme="minorHAnsi" w:cstheme="minorHAnsi"/>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BUBLB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00BC6C9A">
        <w:t xml:space="preserve">  </w:t>
      </w:r>
      <w:r w:rsidR="00BC6C9A">
        <w:rPr>
          <w:b w:val="0"/>
          <w:bCs w:val="0"/>
          <w:caps w:val="0"/>
          <w:color w:val="DB350F"/>
        </w:rPr>
        <w:t>R</w:t>
      </w:r>
      <w:r w:rsidR="00BC6C9A" w:rsidRPr="00BC6C9A">
        <w:rPr>
          <w:b w:val="0"/>
          <w:bCs w:val="0"/>
          <w:caps w:val="0"/>
          <w:color w:val="DB350F"/>
        </w:rPr>
        <w:t xml:space="preserve">equired on all syllabi. </w:t>
      </w:r>
      <w:r w:rsidR="00BC6C9A">
        <w:rPr>
          <w:b w:val="0"/>
          <w:bCs w:val="0"/>
          <w:caps w:val="0"/>
          <w:color w:val="DB350F"/>
        </w:rPr>
        <w:t>To be completed by the instructor.</w:t>
      </w:r>
    </w:p>
    <w:p w14:paraId="5FBE2C43" w14:textId="7777777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2C652BC9" w14:textId="0D00F03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Be sure to include important dates relative to the academic calendar. The UTRGV academic calendar can be found at </w:t>
      </w:r>
      <w:hyperlink r:id="rId42">
        <w:r w:rsidRPr="004419AF">
          <w:rPr>
            <w:rStyle w:val="Hyperlink"/>
            <w:rFonts w:cstheme="minorHAnsi"/>
            <w:sz w:val="22"/>
            <w:szCs w:val="22"/>
          </w:rPr>
          <w:t>https://my.utrgv.edu/home</w:t>
        </w:r>
      </w:hyperlink>
      <w:r w:rsidRPr="004419AF">
        <w:rPr>
          <w:rFonts w:cstheme="minorHAnsi"/>
          <w:sz w:val="22"/>
          <w:szCs w:val="22"/>
        </w:rPr>
        <w:t xml:space="preserve"> at the bottom of the screen, </w:t>
      </w:r>
      <w:r w:rsidRPr="004419AF">
        <w:rPr>
          <w:rFonts w:cstheme="minorHAnsi"/>
          <w:i/>
          <w:iCs/>
          <w:sz w:val="22"/>
          <w:szCs w:val="22"/>
        </w:rPr>
        <w:t>prior to login</w:t>
      </w:r>
      <w:r w:rsidRPr="004419AF">
        <w:rPr>
          <w:rFonts w:cstheme="minorHAnsi"/>
          <w:sz w:val="22"/>
          <w:szCs w:val="22"/>
        </w:rPr>
        <w:t xml:space="preserve">. Some important dates for </w:t>
      </w:r>
      <w:r w:rsidR="00142909">
        <w:rPr>
          <w:rFonts w:cstheme="minorHAnsi"/>
          <w:sz w:val="22"/>
          <w:szCs w:val="22"/>
        </w:rPr>
        <w:t>Spring</w:t>
      </w:r>
      <w:r w:rsidRPr="004419AF">
        <w:rPr>
          <w:rFonts w:cstheme="minorHAnsi"/>
          <w:sz w:val="22"/>
          <w:szCs w:val="22"/>
        </w:rPr>
        <w:t xml:space="preserve"> 202</w:t>
      </w:r>
      <w:r w:rsidR="00142909">
        <w:rPr>
          <w:rFonts w:cstheme="minorHAnsi"/>
          <w:sz w:val="22"/>
          <w:szCs w:val="22"/>
        </w:rPr>
        <w:t>1</w:t>
      </w:r>
      <w:r w:rsidRPr="004419AF">
        <w:rPr>
          <w:rFonts w:cstheme="minorHAnsi"/>
          <w:sz w:val="22"/>
          <w:szCs w:val="22"/>
        </w:rPr>
        <w:t xml:space="preserve"> include:</w:t>
      </w:r>
    </w:p>
    <w:p w14:paraId="404D98FC" w14:textId="77777777" w:rsidR="004419AF" w:rsidRPr="004419AF" w:rsidRDefault="004419AF" w:rsidP="004419AF">
      <w:pPr>
        <w:spacing w:before="0" w:after="0" w:line="240" w:lineRule="auto"/>
        <w:rPr>
          <w:rFonts w:cstheme="minorHAnsi"/>
          <w:sz w:val="22"/>
          <w:szCs w:val="22"/>
        </w:rPr>
      </w:pPr>
    </w:p>
    <w:p w14:paraId="7BF2C2A7" w14:textId="780C2174" w:rsidR="004419AF" w:rsidRPr="004419AF" w:rsidRDefault="009A594D" w:rsidP="004419AF">
      <w:pPr>
        <w:spacing w:before="0" w:after="0" w:line="240" w:lineRule="auto"/>
        <w:rPr>
          <w:rFonts w:cstheme="minorHAnsi"/>
          <w:sz w:val="22"/>
          <w:szCs w:val="22"/>
        </w:rPr>
      </w:pPr>
      <w:r>
        <w:rPr>
          <w:rFonts w:cstheme="minorHAnsi"/>
          <w:sz w:val="22"/>
          <w:szCs w:val="22"/>
        </w:rPr>
        <w:t>Jan. 11</w:t>
      </w:r>
      <w:r w:rsidR="004419AF" w:rsidRPr="004419AF">
        <w:rPr>
          <w:rFonts w:cstheme="minorHAnsi"/>
          <w:sz w:val="22"/>
          <w:szCs w:val="22"/>
        </w:rPr>
        <w:t xml:space="preserve"> </w:t>
      </w:r>
      <w:r w:rsidR="004419AF" w:rsidRPr="004419AF">
        <w:rPr>
          <w:rFonts w:cstheme="minorHAnsi"/>
          <w:sz w:val="22"/>
          <w:szCs w:val="22"/>
        </w:rPr>
        <w:tab/>
      </w:r>
      <w:r w:rsidR="00D852BA">
        <w:rPr>
          <w:rFonts w:cstheme="minorHAnsi"/>
          <w:sz w:val="22"/>
          <w:szCs w:val="22"/>
        </w:rPr>
        <w:tab/>
      </w:r>
      <w:r w:rsidR="004419AF" w:rsidRPr="004419AF">
        <w:rPr>
          <w:rFonts w:cstheme="minorHAnsi"/>
          <w:sz w:val="22"/>
          <w:szCs w:val="22"/>
        </w:rPr>
        <w:t>First day of classes</w:t>
      </w:r>
      <w:r>
        <w:rPr>
          <w:rFonts w:cstheme="minorHAnsi"/>
          <w:sz w:val="22"/>
          <w:szCs w:val="22"/>
        </w:rPr>
        <w:t>.</w:t>
      </w:r>
    </w:p>
    <w:p w14:paraId="2B2268F8" w14:textId="38020AA1" w:rsidR="004419AF" w:rsidRPr="004419AF" w:rsidRDefault="009A594D" w:rsidP="004419AF">
      <w:pPr>
        <w:spacing w:before="0" w:after="0" w:line="240" w:lineRule="auto"/>
        <w:rPr>
          <w:rFonts w:cstheme="minorHAnsi"/>
          <w:sz w:val="22"/>
          <w:szCs w:val="22"/>
        </w:rPr>
      </w:pPr>
      <w:r>
        <w:rPr>
          <w:rFonts w:cstheme="minorHAnsi"/>
          <w:sz w:val="22"/>
          <w:szCs w:val="22"/>
        </w:rPr>
        <w:t>Jan. 14</w:t>
      </w:r>
      <w:r w:rsidR="004419AF" w:rsidRPr="004419AF">
        <w:rPr>
          <w:rFonts w:cstheme="minorHAnsi"/>
          <w:sz w:val="22"/>
          <w:szCs w:val="22"/>
        </w:rPr>
        <w:tab/>
      </w:r>
      <w:r w:rsidR="004419AF" w:rsidRPr="004419AF">
        <w:rPr>
          <w:rFonts w:cstheme="minorHAnsi"/>
          <w:sz w:val="22"/>
          <w:szCs w:val="22"/>
        </w:rPr>
        <w:tab/>
        <w:t xml:space="preserve">Last day to add a class or register for </w:t>
      </w:r>
      <w:r>
        <w:rPr>
          <w:rFonts w:cstheme="minorHAnsi"/>
          <w:sz w:val="22"/>
          <w:szCs w:val="22"/>
        </w:rPr>
        <w:t>Spring</w:t>
      </w:r>
      <w:r w:rsidR="004419AF" w:rsidRPr="004419AF">
        <w:rPr>
          <w:rFonts w:cstheme="minorHAnsi"/>
          <w:sz w:val="22"/>
          <w:szCs w:val="22"/>
        </w:rPr>
        <w:t xml:space="preserve"> 202</w:t>
      </w:r>
      <w:r w:rsidR="00142909">
        <w:rPr>
          <w:rFonts w:cstheme="minorHAnsi"/>
          <w:sz w:val="22"/>
          <w:szCs w:val="22"/>
        </w:rPr>
        <w:t>1</w:t>
      </w:r>
      <w:r w:rsidR="004419AF" w:rsidRPr="004419AF">
        <w:rPr>
          <w:rFonts w:cstheme="minorHAnsi"/>
          <w:sz w:val="22"/>
          <w:szCs w:val="22"/>
        </w:rPr>
        <w:t xml:space="preserve"> classes</w:t>
      </w:r>
      <w:r>
        <w:rPr>
          <w:rFonts w:cstheme="minorHAnsi"/>
          <w:sz w:val="22"/>
          <w:szCs w:val="22"/>
        </w:rPr>
        <w:t>.</w:t>
      </w:r>
    </w:p>
    <w:p w14:paraId="6221C5F0" w14:textId="62477ABA" w:rsidR="004419AF" w:rsidRDefault="009A594D" w:rsidP="004419AF">
      <w:pPr>
        <w:spacing w:before="0" w:after="0" w:line="240" w:lineRule="auto"/>
        <w:rPr>
          <w:rFonts w:cstheme="minorHAnsi"/>
          <w:sz w:val="22"/>
          <w:szCs w:val="22"/>
        </w:rPr>
      </w:pPr>
      <w:r>
        <w:rPr>
          <w:rFonts w:cstheme="minorHAnsi"/>
          <w:sz w:val="22"/>
          <w:szCs w:val="22"/>
        </w:rPr>
        <w:t>Jan. 18</w:t>
      </w:r>
      <w:r w:rsidR="004419AF" w:rsidRPr="004419AF">
        <w:rPr>
          <w:rFonts w:cstheme="minorHAnsi"/>
          <w:sz w:val="22"/>
          <w:szCs w:val="22"/>
        </w:rPr>
        <w:tab/>
      </w:r>
      <w:r w:rsidR="004419AF" w:rsidRPr="004419AF">
        <w:rPr>
          <w:rFonts w:cstheme="minorHAnsi"/>
          <w:sz w:val="22"/>
          <w:szCs w:val="22"/>
        </w:rPr>
        <w:tab/>
      </w:r>
      <w:r>
        <w:rPr>
          <w:rFonts w:cstheme="minorHAnsi"/>
          <w:sz w:val="22"/>
          <w:szCs w:val="22"/>
        </w:rPr>
        <w:t>Martin Luther King Jr. No classes.</w:t>
      </w:r>
    </w:p>
    <w:p w14:paraId="18D0E44C" w14:textId="22013351" w:rsidR="009A594D" w:rsidRDefault="009A594D" w:rsidP="004419AF">
      <w:pPr>
        <w:spacing w:before="0" w:after="0" w:line="240" w:lineRule="auto"/>
        <w:rPr>
          <w:rFonts w:cstheme="minorHAnsi"/>
          <w:sz w:val="22"/>
          <w:szCs w:val="22"/>
        </w:rPr>
      </w:pPr>
      <w:r>
        <w:rPr>
          <w:rFonts w:cstheme="minorHAnsi"/>
          <w:sz w:val="22"/>
          <w:szCs w:val="22"/>
        </w:rPr>
        <w:t>Mar. 15-20</w:t>
      </w:r>
      <w:r>
        <w:rPr>
          <w:rFonts w:cstheme="minorHAnsi"/>
          <w:sz w:val="22"/>
          <w:szCs w:val="22"/>
        </w:rPr>
        <w:tab/>
        <w:t>Spring Break. No classes.</w:t>
      </w:r>
    </w:p>
    <w:p w14:paraId="26F47040" w14:textId="0687C79B" w:rsidR="009A594D" w:rsidRPr="004419AF" w:rsidRDefault="009A594D" w:rsidP="004419AF">
      <w:pPr>
        <w:spacing w:before="0" w:after="0" w:line="240" w:lineRule="auto"/>
        <w:rPr>
          <w:rFonts w:cstheme="minorHAnsi"/>
          <w:sz w:val="22"/>
          <w:szCs w:val="22"/>
        </w:rPr>
      </w:pPr>
      <w:r>
        <w:rPr>
          <w:rFonts w:cstheme="minorHAnsi"/>
          <w:sz w:val="22"/>
          <w:szCs w:val="22"/>
        </w:rPr>
        <w:t>Apr. 2-3</w:t>
      </w:r>
      <w:r>
        <w:rPr>
          <w:rFonts w:cstheme="minorHAnsi"/>
          <w:sz w:val="22"/>
          <w:szCs w:val="22"/>
        </w:rPr>
        <w:tab/>
      </w:r>
      <w:r>
        <w:rPr>
          <w:rFonts w:cstheme="minorHAnsi"/>
          <w:sz w:val="22"/>
          <w:szCs w:val="22"/>
        </w:rPr>
        <w:tab/>
        <w:t>Easter Holiday. No classes.</w:t>
      </w:r>
    </w:p>
    <w:p w14:paraId="44B36BD8" w14:textId="6B3C0B68" w:rsidR="004419AF" w:rsidRPr="004419AF" w:rsidRDefault="009A594D" w:rsidP="004419AF">
      <w:pPr>
        <w:spacing w:before="0" w:after="0" w:line="240" w:lineRule="auto"/>
        <w:rPr>
          <w:rFonts w:cstheme="minorHAnsi"/>
          <w:sz w:val="22"/>
          <w:szCs w:val="22"/>
        </w:rPr>
      </w:pPr>
      <w:r>
        <w:rPr>
          <w:rFonts w:cstheme="minorHAnsi"/>
          <w:sz w:val="22"/>
          <w:szCs w:val="22"/>
        </w:rPr>
        <w:t>Apr. 6</w:t>
      </w:r>
      <w:r w:rsidR="004419AF" w:rsidRPr="004419AF">
        <w:rPr>
          <w:rFonts w:cstheme="minorHAnsi"/>
          <w:sz w:val="22"/>
          <w:szCs w:val="22"/>
        </w:rPr>
        <w:tab/>
      </w:r>
      <w:r w:rsidR="004419AF" w:rsidRPr="004419AF">
        <w:rPr>
          <w:rFonts w:cstheme="minorHAnsi"/>
          <w:sz w:val="22"/>
          <w:szCs w:val="22"/>
        </w:rPr>
        <w:tab/>
        <w:t>Last day to drop a class or withdraw</w:t>
      </w:r>
      <w:r>
        <w:rPr>
          <w:rFonts w:cstheme="minorHAnsi"/>
          <w:sz w:val="22"/>
          <w:szCs w:val="22"/>
        </w:rPr>
        <w:t>.</w:t>
      </w:r>
    </w:p>
    <w:p w14:paraId="6A4CDF0B" w14:textId="2B209226" w:rsidR="004419AF" w:rsidRPr="004419AF" w:rsidRDefault="009A594D" w:rsidP="004419AF">
      <w:pPr>
        <w:spacing w:before="0" w:after="0" w:line="240" w:lineRule="auto"/>
        <w:rPr>
          <w:rFonts w:cstheme="minorHAnsi"/>
          <w:sz w:val="22"/>
          <w:szCs w:val="22"/>
        </w:rPr>
      </w:pPr>
      <w:r>
        <w:rPr>
          <w:rFonts w:cstheme="minorHAnsi"/>
          <w:sz w:val="22"/>
          <w:szCs w:val="22"/>
        </w:rPr>
        <w:t>Apr. 29</w:t>
      </w:r>
      <w:r w:rsidR="004419AF" w:rsidRPr="004419AF">
        <w:rPr>
          <w:rFonts w:cstheme="minorHAnsi"/>
          <w:sz w:val="22"/>
          <w:szCs w:val="22"/>
        </w:rPr>
        <w:tab/>
      </w:r>
      <w:r w:rsidR="004419AF" w:rsidRPr="004419AF">
        <w:rPr>
          <w:rFonts w:cstheme="minorHAnsi"/>
          <w:sz w:val="22"/>
          <w:szCs w:val="22"/>
        </w:rPr>
        <w:tab/>
        <w:t>Study Day – NO classes</w:t>
      </w:r>
    </w:p>
    <w:p w14:paraId="2215A84D" w14:textId="1B938B62" w:rsidR="004419AF" w:rsidRDefault="009A594D" w:rsidP="004419AF">
      <w:pPr>
        <w:spacing w:before="0" w:after="0" w:line="240" w:lineRule="auto"/>
        <w:rPr>
          <w:rFonts w:cstheme="minorHAnsi"/>
          <w:sz w:val="22"/>
          <w:szCs w:val="22"/>
        </w:rPr>
      </w:pPr>
      <w:r>
        <w:rPr>
          <w:rFonts w:cstheme="minorHAnsi"/>
          <w:sz w:val="22"/>
          <w:szCs w:val="22"/>
        </w:rPr>
        <w:t>Apr 30-May 6</w:t>
      </w:r>
      <w:r w:rsidR="004419AF" w:rsidRPr="004419AF">
        <w:rPr>
          <w:rFonts w:cstheme="minorHAnsi"/>
          <w:sz w:val="22"/>
          <w:szCs w:val="22"/>
        </w:rPr>
        <w:tab/>
        <w:t>Final Exams</w:t>
      </w:r>
    </w:p>
    <w:p w14:paraId="65763B99" w14:textId="2F262A35" w:rsidR="009A594D" w:rsidRPr="004419AF" w:rsidRDefault="009A594D" w:rsidP="004419AF">
      <w:pPr>
        <w:spacing w:before="0" w:after="0" w:line="240" w:lineRule="auto"/>
        <w:rPr>
          <w:rFonts w:cstheme="minorHAnsi"/>
          <w:sz w:val="22"/>
          <w:szCs w:val="22"/>
        </w:rPr>
      </w:pPr>
      <w:r>
        <w:rPr>
          <w:rFonts w:cstheme="minorHAnsi"/>
          <w:sz w:val="22"/>
          <w:szCs w:val="22"/>
        </w:rPr>
        <w:t>May 6</w:t>
      </w:r>
      <w:r>
        <w:rPr>
          <w:rFonts w:cstheme="minorHAnsi"/>
          <w:sz w:val="22"/>
          <w:szCs w:val="22"/>
        </w:rPr>
        <w:tab/>
      </w:r>
      <w:r>
        <w:rPr>
          <w:rFonts w:cstheme="minorHAnsi"/>
          <w:sz w:val="22"/>
          <w:szCs w:val="22"/>
        </w:rPr>
        <w:tab/>
        <w:t>Spring classes end; Official last day of the term</w:t>
      </w:r>
    </w:p>
    <w:p w14:paraId="33E65CC1" w14:textId="0656DE56" w:rsidR="004419AF" w:rsidRPr="004419AF" w:rsidRDefault="007C0396" w:rsidP="004419AF">
      <w:pPr>
        <w:spacing w:before="0" w:after="0" w:line="240" w:lineRule="auto"/>
        <w:rPr>
          <w:rFonts w:cstheme="minorHAnsi"/>
          <w:sz w:val="22"/>
          <w:szCs w:val="22"/>
        </w:rPr>
      </w:pPr>
      <w:r>
        <w:rPr>
          <w:rFonts w:cstheme="minorHAnsi"/>
          <w:sz w:val="22"/>
          <w:szCs w:val="22"/>
        </w:rPr>
        <w:t>May 10</w:t>
      </w:r>
      <w:r w:rsidR="004419AF" w:rsidRPr="004419AF">
        <w:rPr>
          <w:rFonts w:cstheme="minorHAnsi"/>
          <w:sz w:val="22"/>
          <w:szCs w:val="22"/>
        </w:rPr>
        <w:tab/>
      </w:r>
      <w:r w:rsidR="00D852BA">
        <w:rPr>
          <w:rFonts w:cstheme="minorHAnsi"/>
          <w:sz w:val="22"/>
          <w:szCs w:val="22"/>
        </w:rPr>
        <w:tab/>
      </w:r>
      <w:r w:rsidR="004419AF" w:rsidRPr="004419AF">
        <w:rPr>
          <w:rFonts w:cstheme="minorHAnsi"/>
          <w:sz w:val="22"/>
          <w:szCs w:val="22"/>
        </w:rPr>
        <w:t>Grades Due at 3 p.m.</w:t>
      </w:r>
    </w:p>
    <w:p w14:paraId="6413BCAE" w14:textId="77777777" w:rsidR="003A534F" w:rsidRDefault="003A534F" w:rsidP="0053255D">
      <w:pPr>
        <w:spacing w:line="240" w:lineRule="auto"/>
        <w:contextualSpacing/>
        <w:rPr>
          <w:rFonts w:cstheme="minorHAnsi"/>
          <w:sz w:val="22"/>
          <w:szCs w:val="22"/>
        </w:rPr>
      </w:pPr>
      <w:bookmarkStart w:id="3" w:name="_Hlk48213766"/>
    </w:p>
    <w:p w14:paraId="030DDB86" w14:textId="23DCAE34" w:rsidR="0053255D" w:rsidRPr="00154E46" w:rsidRDefault="0053255D" w:rsidP="0053255D">
      <w:pPr>
        <w:spacing w:line="240" w:lineRule="auto"/>
        <w:contextualSpacing/>
        <w:rPr>
          <w:rFonts w:cstheme="minorHAnsi"/>
          <w:b/>
          <w:bCs/>
          <w:sz w:val="22"/>
          <w:szCs w:val="22"/>
        </w:rPr>
      </w:pPr>
      <w:r w:rsidRPr="00154E46">
        <w:rPr>
          <w:rFonts w:cstheme="minorHAnsi"/>
          <w:b/>
          <w:bCs/>
          <w:sz w:val="22"/>
          <w:szCs w:val="22"/>
        </w:rPr>
        <w:t>DEAN OF STUDENTS RESOURCES</w:t>
      </w:r>
      <w:r w:rsidR="003A534F" w:rsidRPr="00154E46">
        <w:rPr>
          <w:rFonts w:cstheme="minorHAnsi"/>
          <w:b/>
          <w:bCs/>
          <w:sz w:val="22"/>
          <w:szCs w:val="22"/>
        </w:rPr>
        <w:t>:</w:t>
      </w:r>
    </w:p>
    <w:p w14:paraId="14709A81" w14:textId="3D4441FF" w:rsidR="0053255D" w:rsidRPr="00154E46" w:rsidRDefault="0053255D" w:rsidP="0053255D">
      <w:pPr>
        <w:spacing w:line="240" w:lineRule="auto"/>
        <w:contextualSpacing/>
        <w:rPr>
          <w:rFonts w:cstheme="minorHAnsi"/>
          <w:sz w:val="22"/>
          <w:szCs w:val="22"/>
        </w:rPr>
      </w:pPr>
      <w:r w:rsidRPr="00154E46">
        <w:rPr>
          <w:rFonts w:cstheme="minorHAnsi"/>
          <w:sz w:val="22"/>
          <w:szCs w:val="22"/>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7EA4B8DD" w14:textId="77777777" w:rsidR="0053255D" w:rsidRPr="00154E46" w:rsidRDefault="0053255D" w:rsidP="0053255D">
      <w:pPr>
        <w:spacing w:line="240" w:lineRule="auto"/>
        <w:contextualSpacing/>
        <w:rPr>
          <w:rFonts w:cstheme="minorHAnsi"/>
          <w:sz w:val="22"/>
          <w:szCs w:val="22"/>
        </w:rPr>
      </w:pPr>
    </w:p>
    <w:bookmarkEnd w:id="3"/>
    <w:p w14:paraId="49FF392D" w14:textId="77777777" w:rsidR="0053255D" w:rsidRPr="00154E46" w:rsidRDefault="0053694D" w:rsidP="0053255D">
      <w:pPr>
        <w:rPr>
          <w:rFonts w:cstheme="minorHAnsi"/>
          <w:sz w:val="22"/>
          <w:szCs w:val="22"/>
        </w:rPr>
      </w:pPr>
      <w:r w:rsidRPr="00154E46">
        <w:fldChar w:fldCharType="begin"/>
      </w:r>
      <w:r w:rsidRPr="00154E46">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154E46">
        <w:fldChar w:fldCharType="separate"/>
      </w:r>
      <w:r w:rsidR="0053255D" w:rsidRPr="00154E46">
        <w:rPr>
          <w:rStyle w:val="Hyperlink"/>
          <w:rFonts w:cstheme="minorHAnsi"/>
          <w:sz w:val="22"/>
          <w:szCs w:val="22"/>
        </w:rPr>
        <w:t>Vaqueros Report It</w:t>
      </w:r>
      <w:r w:rsidRPr="00154E46">
        <w:rPr>
          <w:rStyle w:val="Hyperlink"/>
          <w:rFonts w:cstheme="minorHAnsi"/>
          <w:sz w:val="22"/>
          <w:szCs w:val="22"/>
        </w:rPr>
        <w:fldChar w:fldCharType="end"/>
      </w:r>
      <w:r w:rsidR="0053255D" w:rsidRPr="00154E46">
        <w:rPr>
          <w:rFonts w:cstheme="minorHAnsi"/>
          <w:color w:val="656565"/>
          <w:sz w:val="22"/>
          <w:szCs w:val="22"/>
        </w:rPr>
        <w:t xml:space="preserve"> </w:t>
      </w:r>
      <w:r w:rsidR="0053255D" w:rsidRPr="00154E46">
        <w:rPr>
          <w:rFonts w:cstheme="minorHAnsi"/>
          <w:sz w:val="22"/>
          <w:szCs w:val="22"/>
        </w:rPr>
        <w:t>allows students, staff and faculty a way to report concern about the well-being of a student, seek assistance in resolving a complaint, or report allegations of behaviors contrary to community standards or campus policies.</w:t>
      </w:r>
    </w:p>
    <w:p w14:paraId="34C28FA1" w14:textId="3599C204" w:rsidR="00DB7A43" w:rsidRPr="00DB7A43" w:rsidRDefault="0053255D" w:rsidP="008009D9">
      <w:pPr>
        <w:rPr>
          <w:rFonts w:cstheme="minorHAnsi"/>
          <w:i/>
          <w:iCs/>
          <w:sz w:val="22"/>
          <w:szCs w:val="22"/>
        </w:rPr>
      </w:pPr>
      <w:r w:rsidRPr="00154E46">
        <w:rPr>
          <w:rFonts w:cstheme="minorHAnsi"/>
          <w:sz w:val="22"/>
          <w:szCs w:val="22"/>
        </w:rPr>
        <w:t xml:space="preserve">The Dean of Students can also be reached by emailing </w:t>
      </w:r>
      <w:hyperlink r:id="rId43" w:history="1">
        <w:r w:rsidRPr="00154E46">
          <w:rPr>
            <w:rStyle w:val="Hyperlink"/>
            <w:rFonts w:cstheme="minorHAnsi"/>
            <w:sz w:val="22"/>
            <w:szCs w:val="22"/>
          </w:rPr>
          <w:t>dos@utrgv.edu</w:t>
        </w:r>
      </w:hyperlink>
      <w:r w:rsidRPr="00154E46">
        <w:rPr>
          <w:rFonts w:cstheme="minorHAnsi"/>
          <w:sz w:val="22"/>
          <w:szCs w:val="22"/>
        </w:rPr>
        <w:t xml:space="preserve"> or visiting </w:t>
      </w:r>
      <w:hyperlink r:id="rId44" w:history="1">
        <w:r w:rsidRPr="00154E46">
          <w:rPr>
            <w:rStyle w:val="Hyperlink"/>
            <w:rFonts w:cstheme="minorHAnsi"/>
            <w:sz w:val="22"/>
            <w:szCs w:val="22"/>
          </w:rPr>
          <w:t>Virtual Office hours</w:t>
        </w:r>
      </w:hyperlink>
      <w:r w:rsidRPr="00154E46">
        <w:rPr>
          <w:rFonts w:cstheme="minorHAnsi"/>
          <w:sz w:val="22"/>
          <w:szCs w:val="22"/>
        </w:rPr>
        <w:t xml:space="preserve"> in which a representative is available Monday-Friday 9:00-11:00 a.m. and 1:00-4:00 p.m.</w:t>
      </w:r>
    </w:p>
    <w:sectPr w:rsidR="00DB7A43" w:rsidRPr="00DB7A43" w:rsidSect="007330D2">
      <w:footerReference w:type="default" r:id="rId4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CAE0D" w14:textId="77777777" w:rsidR="000840C0" w:rsidRDefault="000840C0" w:rsidP="00EE57D3">
      <w:pPr>
        <w:spacing w:before="0" w:after="0" w:line="240" w:lineRule="auto"/>
      </w:pPr>
      <w:r>
        <w:separator/>
      </w:r>
    </w:p>
  </w:endnote>
  <w:endnote w:type="continuationSeparator" w:id="0">
    <w:p w14:paraId="5FCACF3F" w14:textId="77777777" w:rsidR="000840C0" w:rsidRDefault="000840C0" w:rsidP="00EE57D3">
      <w:pPr>
        <w:spacing w:before="0" w:after="0" w:line="240" w:lineRule="auto"/>
      </w:pPr>
      <w:r>
        <w:continuationSeparator/>
      </w:r>
    </w:p>
  </w:endnote>
  <w:endnote w:type="continuationNotice" w:id="1">
    <w:p w14:paraId="247AECAA" w14:textId="77777777" w:rsidR="000840C0" w:rsidRDefault="000840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3620"/>
      <w:docPartObj>
        <w:docPartGallery w:val="Page Numbers (Bottom of Page)"/>
        <w:docPartUnique/>
      </w:docPartObj>
    </w:sdtPr>
    <w:sdtEndPr>
      <w:rPr>
        <w:noProof/>
      </w:rPr>
    </w:sdtEndPr>
    <w:sdtContent>
      <w:p w14:paraId="544BBCD3" w14:textId="0A794A18" w:rsidR="00EE57D3" w:rsidRDefault="003D5645">
        <w:pPr>
          <w:pStyle w:val="Footer"/>
          <w:jc w:val="center"/>
        </w:pPr>
        <w:r>
          <w:fldChar w:fldCharType="begin"/>
        </w:r>
        <w:r w:rsidR="00EE57D3">
          <w:instrText xml:space="preserve"> PAGE   \* MERGEFORMAT </w:instrText>
        </w:r>
        <w:r>
          <w:fldChar w:fldCharType="separate"/>
        </w:r>
        <w:r w:rsidR="00613AA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2AD5B" w14:textId="77777777" w:rsidR="000840C0" w:rsidRDefault="000840C0" w:rsidP="00EE57D3">
      <w:pPr>
        <w:spacing w:before="0" w:after="0" w:line="240" w:lineRule="auto"/>
      </w:pPr>
      <w:r>
        <w:separator/>
      </w:r>
    </w:p>
  </w:footnote>
  <w:footnote w:type="continuationSeparator" w:id="0">
    <w:p w14:paraId="335FB737" w14:textId="77777777" w:rsidR="000840C0" w:rsidRDefault="000840C0" w:rsidP="00EE57D3">
      <w:pPr>
        <w:spacing w:before="0" w:after="0" w:line="240" w:lineRule="auto"/>
      </w:pPr>
      <w:r>
        <w:continuationSeparator/>
      </w:r>
    </w:p>
  </w:footnote>
  <w:footnote w:type="continuationNotice" w:id="1">
    <w:p w14:paraId="1DA3A6E7" w14:textId="77777777" w:rsidR="000840C0" w:rsidRDefault="000840C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273A"/>
    <w:rsid w:val="00053915"/>
    <w:rsid w:val="0006252D"/>
    <w:rsid w:val="00067A8C"/>
    <w:rsid w:val="00077696"/>
    <w:rsid w:val="0007780B"/>
    <w:rsid w:val="000840C0"/>
    <w:rsid w:val="00085A12"/>
    <w:rsid w:val="000874FF"/>
    <w:rsid w:val="00091931"/>
    <w:rsid w:val="000A398D"/>
    <w:rsid w:val="000B1990"/>
    <w:rsid w:val="000C08A1"/>
    <w:rsid w:val="000C5171"/>
    <w:rsid w:val="000C7EF9"/>
    <w:rsid w:val="000D65DB"/>
    <w:rsid w:val="000D71DA"/>
    <w:rsid w:val="000E1542"/>
    <w:rsid w:val="000F44D1"/>
    <w:rsid w:val="00100F35"/>
    <w:rsid w:val="001046E3"/>
    <w:rsid w:val="00106712"/>
    <w:rsid w:val="001123D7"/>
    <w:rsid w:val="00131F3A"/>
    <w:rsid w:val="00136683"/>
    <w:rsid w:val="00142909"/>
    <w:rsid w:val="00151A2B"/>
    <w:rsid w:val="00151FE8"/>
    <w:rsid w:val="00154E46"/>
    <w:rsid w:val="00165DB0"/>
    <w:rsid w:val="001950B5"/>
    <w:rsid w:val="00196E08"/>
    <w:rsid w:val="001A150F"/>
    <w:rsid w:val="001B1A80"/>
    <w:rsid w:val="001B42F1"/>
    <w:rsid w:val="001D1CDD"/>
    <w:rsid w:val="001F1F51"/>
    <w:rsid w:val="001F74CA"/>
    <w:rsid w:val="0020719D"/>
    <w:rsid w:val="0021251F"/>
    <w:rsid w:val="00216D68"/>
    <w:rsid w:val="00220CC0"/>
    <w:rsid w:val="002405D6"/>
    <w:rsid w:val="00250B25"/>
    <w:rsid w:val="0026092F"/>
    <w:rsid w:val="00261AF2"/>
    <w:rsid w:val="00267095"/>
    <w:rsid w:val="00270DB1"/>
    <w:rsid w:val="002762B0"/>
    <w:rsid w:val="00291DF4"/>
    <w:rsid w:val="00294B43"/>
    <w:rsid w:val="002A5BD0"/>
    <w:rsid w:val="002A6543"/>
    <w:rsid w:val="002B284F"/>
    <w:rsid w:val="002B516A"/>
    <w:rsid w:val="002B758C"/>
    <w:rsid w:val="002C0AEA"/>
    <w:rsid w:val="002E2DED"/>
    <w:rsid w:val="002F7AD3"/>
    <w:rsid w:val="00303761"/>
    <w:rsid w:val="00303CF3"/>
    <w:rsid w:val="003043D2"/>
    <w:rsid w:val="00304509"/>
    <w:rsid w:val="003116BA"/>
    <w:rsid w:val="00317F53"/>
    <w:rsid w:val="0032047F"/>
    <w:rsid w:val="00322660"/>
    <w:rsid w:val="003248AD"/>
    <w:rsid w:val="00327B8C"/>
    <w:rsid w:val="0033190B"/>
    <w:rsid w:val="00334891"/>
    <w:rsid w:val="0033726F"/>
    <w:rsid w:val="003406E7"/>
    <w:rsid w:val="00344EE9"/>
    <w:rsid w:val="0034570C"/>
    <w:rsid w:val="0034691A"/>
    <w:rsid w:val="00346E6A"/>
    <w:rsid w:val="00350208"/>
    <w:rsid w:val="00350E38"/>
    <w:rsid w:val="0035318B"/>
    <w:rsid w:val="00362757"/>
    <w:rsid w:val="00365761"/>
    <w:rsid w:val="0037130C"/>
    <w:rsid w:val="00376E23"/>
    <w:rsid w:val="00382F34"/>
    <w:rsid w:val="00383B3F"/>
    <w:rsid w:val="00384253"/>
    <w:rsid w:val="003868E8"/>
    <w:rsid w:val="003A0DE8"/>
    <w:rsid w:val="003A534F"/>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96F20"/>
    <w:rsid w:val="004A6CED"/>
    <w:rsid w:val="004B2007"/>
    <w:rsid w:val="004B5063"/>
    <w:rsid w:val="004C5ACB"/>
    <w:rsid w:val="004D034B"/>
    <w:rsid w:val="004E465E"/>
    <w:rsid w:val="004F3052"/>
    <w:rsid w:val="00500469"/>
    <w:rsid w:val="00500FE0"/>
    <w:rsid w:val="00510A9F"/>
    <w:rsid w:val="005321FC"/>
    <w:rsid w:val="0053255D"/>
    <w:rsid w:val="0053536B"/>
    <w:rsid w:val="0053694D"/>
    <w:rsid w:val="005424C5"/>
    <w:rsid w:val="0054366A"/>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5F49D5"/>
    <w:rsid w:val="00601E49"/>
    <w:rsid w:val="00603F28"/>
    <w:rsid w:val="0060724E"/>
    <w:rsid w:val="0061108F"/>
    <w:rsid w:val="006126E6"/>
    <w:rsid w:val="00613AA1"/>
    <w:rsid w:val="0062765A"/>
    <w:rsid w:val="00643687"/>
    <w:rsid w:val="00645B9C"/>
    <w:rsid w:val="0065422F"/>
    <w:rsid w:val="006703E9"/>
    <w:rsid w:val="00680A1A"/>
    <w:rsid w:val="0068286B"/>
    <w:rsid w:val="00696CBC"/>
    <w:rsid w:val="006A0B62"/>
    <w:rsid w:val="006A72DF"/>
    <w:rsid w:val="006C01C8"/>
    <w:rsid w:val="006C54C6"/>
    <w:rsid w:val="006C78F7"/>
    <w:rsid w:val="006E06A7"/>
    <w:rsid w:val="006E4B69"/>
    <w:rsid w:val="006E4E84"/>
    <w:rsid w:val="00720C8B"/>
    <w:rsid w:val="00725462"/>
    <w:rsid w:val="007330D2"/>
    <w:rsid w:val="00733B12"/>
    <w:rsid w:val="00750764"/>
    <w:rsid w:val="0075481C"/>
    <w:rsid w:val="0075632C"/>
    <w:rsid w:val="00770375"/>
    <w:rsid w:val="007705C6"/>
    <w:rsid w:val="00776F82"/>
    <w:rsid w:val="00777B21"/>
    <w:rsid w:val="00791881"/>
    <w:rsid w:val="00796F94"/>
    <w:rsid w:val="007A0A71"/>
    <w:rsid w:val="007A30DA"/>
    <w:rsid w:val="007C0396"/>
    <w:rsid w:val="007C2662"/>
    <w:rsid w:val="007E32C0"/>
    <w:rsid w:val="007E7353"/>
    <w:rsid w:val="008009D9"/>
    <w:rsid w:val="008042F8"/>
    <w:rsid w:val="00804E48"/>
    <w:rsid w:val="00810266"/>
    <w:rsid w:val="00830C6E"/>
    <w:rsid w:val="008444AE"/>
    <w:rsid w:val="00845ECD"/>
    <w:rsid w:val="00860C59"/>
    <w:rsid w:val="008652BF"/>
    <w:rsid w:val="0087052A"/>
    <w:rsid w:val="00874B08"/>
    <w:rsid w:val="00874C52"/>
    <w:rsid w:val="00882BB8"/>
    <w:rsid w:val="0088407C"/>
    <w:rsid w:val="00887B11"/>
    <w:rsid w:val="00892742"/>
    <w:rsid w:val="00893108"/>
    <w:rsid w:val="008A062E"/>
    <w:rsid w:val="008A0773"/>
    <w:rsid w:val="008A1584"/>
    <w:rsid w:val="008A37E3"/>
    <w:rsid w:val="008A519B"/>
    <w:rsid w:val="008A7B6E"/>
    <w:rsid w:val="008B5E23"/>
    <w:rsid w:val="008E1F52"/>
    <w:rsid w:val="008F0EE1"/>
    <w:rsid w:val="00903086"/>
    <w:rsid w:val="00906B1F"/>
    <w:rsid w:val="00907E33"/>
    <w:rsid w:val="009217B3"/>
    <w:rsid w:val="009253A8"/>
    <w:rsid w:val="00925A6A"/>
    <w:rsid w:val="00936158"/>
    <w:rsid w:val="00942EB9"/>
    <w:rsid w:val="00950237"/>
    <w:rsid w:val="00950916"/>
    <w:rsid w:val="0095582E"/>
    <w:rsid w:val="00960FA5"/>
    <w:rsid w:val="009625F6"/>
    <w:rsid w:val="0096511E"/>
    <w:rsid w:val="00975249"/>
    <w:rsid w:val="009857CF"/>
    <w:rsid w:val="009857FE"/>
    <w:rsid w:val="009A2203"/>
    <w:rsid w:val="009A594D"/>
    <w:rsid w:val="009A6F2A"/>
    <w:rsid w:val="009C2F4B"/>
    <w:rsid w:val="009C5CBC"/>
    <w:rsid w:val="009C6ADB"/>
    <w:rsid w:val="009D0AF6"/>
    <w:rsid w:val="009D6256"/>
    <w:rsid w:val="009D662B"/>
    <w:rsid w:val="009E57A2"/>
    <w:rsid w:val="009F05DE"/>
    <w:rsid w:val="009F1055"/>
    <w:rsid w:val="009F2866"/>
    <w:rsid w:val="009F3832"/>
    <w:rsid w:val="00A07006"/>
    <w:rsid w:val="00A139BD"/>
    <w:rsid w:val="00A27F7B"/>
    <w:rsid w:val="00A33E58"/>
    <w:rsid w:val="00A33EE6"/>
    <w:rsid w:val="00A351FC"/>
    <w:rsid w:val="00A408D9"/>
    <w:rsid w:val="00A41F96"/>
    <w:rsid w:val="00A43A0B"/>
    <w:rsid w:val="00A45FC7"/>
    <w:rsid w:val="00A66B3E"/>
    <w:rsid w:val="00AB3430"/>
    <w:rsid w:val="00AD7CB6"/>
    <w:rsid w:val="00AE58E6"/>
    <w:rsid w:val="00AF165A"/>
    <w:rsid w:val="00AF56BB"/>
    <w:rsid w:val="00B113E2"/>
    <w:rsid w:val="00B1760C"/>
    <w:rsid w:val="00B212F0"/>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D012E"/>
    <w:rsid w:val="00CE04CC"/>
    <w:rsid w:val="00CF6E78"/>
    <w:rsid w:val="00D01244"/>
    <w:rsid w:val="00D166A9"/>
    <w:rsid w:val="00D22B82"/>
    <w:rsid w:val="00D240CD"/>
    <w:rsid w:val="00D62A53"/>
    <w:rsid w:val="00D67627"/>
    <w:rsid w:val="00D73E94"/>
    <w:rsid w:val="00D766E8"/>
    <w:rsid w:val="00D852BA"/>
    <w:rsid w:val="00D924E3"/>
    <w:rsid w:val="00D93A08"/>
    <w:rsid w:val="00DA4A47"/>
    <w:rsid w:val="00DB7A43"/>
    <w:rsid w:val="00DC5B66"/>
    <w:rsid w:val="00DC5C75"/>
    <w:rsid w:val="00DC6AC2"/>
    <w:rsid w:val="00DD2057"/>
    <w:rsid w:val="00DE02C6"/>
    <w:rsid w:val="00DF3220"/>
    <w:rsid w:val="00E04C4F"/>
    <w:rsid w:val="00E1560C"/>
    <w:rsid w:val="00E23430"/>
    <w:rsid w:val="00E24CC0"/>
    <w:rsid w:val="00E37E2E"/>
    <w:rsid w:val="00E4769F"/>
    <w:rsid w:val="00E641DE"/>
    <w:rsid w:val="00E71A63"/>
    <w:rsid w:val="00E75CCF"/>
    <w:rsid w:val="00E82817"/>
    <w:rsid w:val="00E82FD7"/>
    <w:rsid w:val="00E8712A"/>
    <w:rsid w:val="00E941C5"/>
    <w:rsid w:val="00E94E3B"/>
    <w:rsid w:val="00EB0B80"/>
    <w:rsid w:val="00EC04EF"/>
    <w:rsid w:val="00ED0F46"/>
    <w:rsid w:val="00ED23E2"/>
    <w:rsid w:val="00ED3404"/>
    <w:rsid w:val="00EE57D3"/>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7C7A"/>
    <w:rsid w:val="00FA635E"/>
    <w:rsid w:val="00FA6EAC"/>
    <w:rsid w:val="00FB72AE"/>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rgv.edu/coronavirus/index.htm" TargetMode="External"/><Relationship Id="rId18" Type="http://schemas.openxmlformats.org/officeDocument/2006/relationships/hyperlink" Target="https://link.utrgv.edu/campusstores-tech/"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mailto:FoodPantry@utrgv.edu" TargetMode="External"/><Relationship Id="rId3" Type="http://schemas.openxmlformats.org/officeDocument/2006/relationships/customXml" Target="../customXml/item3.xm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ucentral@utrgv.edu" TargetMode="External"/><Relationship Id="rId42" Type="http://schemas.openxmlformats.org/officeDocument/2006/relationships/hyperlink" Target="https://my.utrgv.edu/hom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trgv.edu/_files/documents/my-utrgv/ap_calendar.pdf" TargetMode="External"/><Relationship Id="rId17" Type="http://schemas.openxmlformats.org/officeDocument/2006/relationships/hyperlink" Target="https://link.utrgv.edu/campusstores-tech/"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mailto:OVAVP@utrgv.edu" TargetMode="External"/><Relationship Id="rId38" Type="http://schemas.openxmlformats.org/officeDocument/2006/relationships/hyperlink" Target="https://www.utrgv.edu/facultysuccess/_files/documents/syllabus-statement-for-counseling-12-16-19.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rgv.edu/facultysuccess/_files/documents/textbook_resource_tool_handout_campusstores.pdf" TargetMode="External"/><Relationship Id="rId20" Type="http://schemas.openxmlformats.org/officeDocument/2006/relationships/hyperlink" Target="https://www.utrgv.edu/sustainability/sustainability-resources/sust-development-guides/faculty-guides/index.htm" TargetMode="External"/><Relationship Id="rId29" Type="http://schemas.openxmlformats.org/officeDocument/2006/relationships/hyperlink" Target="mailto:ability@utrgv.edu" TargetMode="External"/><Relationship Id="rId41" Type="http://schemas.openxmlformats.org/officeDocument/2006/relationships/hyperlink" Target="mailto:WC@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7" Type="http://schemas.openxmlformats.org/officeDocument/2006/relationships/hyperlink" Target="mailto:Counseling@utrgv.edu" TargetMode="External"/><Relationship Id="rId40" Type="http://schemas.openxmlformats.org/officeDocument/2006/relationships/hyperlink" Target="mailto:LearningCenter@utrgv.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trgv.edu/coronavirus/updates/2020-05-29/index.htm" TargetMode="External"/><Relationship Id="rId23" Type="http://schemas.openxmlformats.org/officeDocument/2006/relationships/hyperlink" Target="https://www.utrgv.edu/online/" TargetMode="External"/><Relationship Id="rId28"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36" Type="http://schemas.openxmlformats.org/officeDocument/2006/relationships/hyperlink" Target="mailto:CareerCenter@utrgv.edu" TargetMode="Externa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http://my.utrgv.edu" TargetMode="External"/><Relationship Id="rId44" Type="http://schemas.openxmlformats.org/officeDocument/2006/relationships/hyperlink" Target="https://www.utrgv.edu/studentlife/about/virtual-office-hour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coronavirus/index.htm" TargetMode="External"/><Relationship Id="rId22" Type="http://schemas.openxmlformats.org/officeDocument/2006/relationships/hyperlink" Target="https://nam01.safelinks.protection.outlook.com/?url=https%3A%2F%2Fwww.utrgv.edu%2Fonline%2Fgetting-support%2Fstudent-support%2Frespondus%2Findex.htm&amp;data=02%7C01%7Cpriscilla.lozano%40utrgv.edu%7C6e38d72002b74279921d08d7df9e3c2c%7C990436a687df491c91249afa91f88827%7C0%7C0%7C637223743015282674&amp;sdata=lE6Dcm7gfPcp7rp86Xm5vTjmjTZ1CJCAxSfY6mJ7F7A%3D&amp;reserved=0" TargetMode="External"/><Relationship Id="rId27"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0" Type="http://schemas.openxmlformats.org/officeDocument/2006/relationships/hyperlink" Target="mailto:ability@utrgv.edu" TargetMode="External"/><Relationship Id="rId35" Type="http://schemas.openxmlformats.org/officeDocument/2006/relationships/hyperlink" Target="mailto:AcademicAdvising@utrgv.edu" TargetMode="External"/><Relationship Id="rId43" Type="http://schemas.openxmlformats.org/officeDocument/2006/relationships/hyperlink" Target="mailto:dos@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87DB1D0BBFE45BCA204391ECEA6B3" ma:contentTypeVersion="2" ma:contentTypeDescription="Create a new document." ma:contentTypeScope="" ma:versionID="a58a2b9c2280a8baa35ff36fdca8f616">
  <xsd:schema xmlns:xsd="http://www.w3.org/2001/XMLSchema" xmlns:xs="http://www.w3.org/2001/XMLSchema" xmlns:p="http://schemas.microsoft.com/office/2006/metadata/properties" xmlns:ns2="98cc03f0-5c3d-4462-8250-08482c3923f9" targetNamespace="http://schemas.microsoft.com/office/2006/metadata/properties" ma:root="true" ma:fieldsID="8376cb7fdfc5fedac31318013963176b" ns2:_="">
    <xsd:import namespace="98cc03f0-5c3d-4462-8250-08482c3923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c03f0-5c3d-4462-8250-08482c392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5405-EF27-4F09-BDE7-9AC198D4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c03f0-5c3d-4462-8250-08482c392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4.xml><?xml version="1.0" encoding="utf-8"?>
<ds:datastoreItem xmlns:ds="http://schemas.openxmlformats.org/officeDocument/2006/customXml" ds:itemID="{5862F650-3F5F-4059-B085-5B6471D6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29168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Diana Chairez</cp:lastModifiedBy>
  <cp:revision>2</cp:revision>
  <cp:lastPrinted>2020-07-24T19:45:00Z</cp:lastPrinted>
  <dcterms:created xsi:type="dcterms:W3CDTF">2020-12-08T20:31:00Z</dcterms:created>
  <dcterms:modified xsi:type="dcterms:W3CDTF">2020-12-08T20:31:00Z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0x01010005487DB1D0BBFE45BCA204391ECEA6B3</vt:lpwstr>
  </property>
</Properties>
</file>